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9651"/>
      </w:tblGrid>
      <w:tr w:rsidR="00E16EB3" w:rsidRPr="000F5242" w14:paraId="7D972423" w14:textId="77777777" w:rsidTr="008659C3">
        <w:trPr>
          <w:trHeight w:val="2404"/>
        </w:trPr>
        <w:tc>
          <w:tcPr>
            <w:tcW w:w="9923" w:type="dxa"/>
            <w:vAlign w:val="center"/>
          </w:tcPr>
          <w:tbl>
            <w:tblPr>
              <w:tblW w:w="9418" w:type="dxa"/>
              <w:tblLook w:val="04A0" w:firstRow="1" w:lastRow="0" w:firstColumn="1" w:lastColumn="0" w:noHBand="0" w:noVBand="1"/>
            </w:tblPr>
            <w:tblGrid>
              <w:gridCol w:w="3734"/>
              <w:gridCol w:w="1746"/>
              <w:gridCol w:w="3938"/>
            </w:tblGrid>
            <w:tr w:rsidR="002B672D" w:rsidRPr="008347A2" w14:paraId="58B3308B" w14:textId="77777777" w:rsidTr="002B672D">
              <w:tc>
                <w:tcPr>
                  <w:tcW w:w="3734" w:type="dxa"/>
                  <w:shd w:val="clear" w:color="auto" w:fill="auto"/>
                </w:tcPr>
                <w:p w14:paraId="1952C6E1" w14:textId="2A856949" w:rsidR="00E16EB3" w:rsidRPr="008347A2" w:rsidRDefault="00E16EB3" w:rsidP="002B672D">
                  <w:pPr>
                    <w:pStyle w:val="Pavadinimas"/>
                    <w:jc w:val="left"/>
                    <w:rPr>
                      <w:rFonts w:ascii="Times New Roman" w:hAnsi="Times New Roman" w:cs="Times New Roman"/>
                      <w:bCs w:val="0"/>
                      <w:color w:val="17365D"/>
                      <w:spacing w:val="5"/>
                      <w:sz w:val="44"/>
                      <w:szCs w:val="44"/>
                    </w:rPr>
                  </w:pPr>
                  <w:bookmarkStart w:id="0" w:name="_GoBack"/>
                  <w:bookmarkEnd w:id="0"/>
                  <w:r w:rsidRPr="008347A2">
                    <w:rPr>
                      <w:rFonts w:ascii="Times New Roman" w:hAnsi="Times New Roman" w:cs="Times New Roman"/>
                      <w:noProof/>
                      <w:sz w:val="20"/>
                      <w:szCs w:val="20"/>
                      <w:lang w:eastAsia="lt-LT"/>
                    </w:rPr>
                    <w:drawing>
                      <wp:inline distT="0" distB="0" distL="0" distR="0" wp14:anchorId="1E7E5756" wp14:editId="5B63D284">
                        <wp:extent cx="2234241" cy="1113981"/>
                        <wp:effectExtent l="0" t="0" r="0" b="0"/>
                        <wp:docPr id="3" name="Picture 3"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506" cy="1117105"/>
                                </a:xfrm>
                                <a:prstGeom prst="rect">
                                  <a:avLst/>
                                </a:prstGeom>
                                <a:noFill/>
                                <a:ln>
                                  <a:noFill/>
                                </a:ln>
                              </pic:spPr>
                            </pic:pic>
                          </a:graphicData>
                        </a:graphic>
                      </wp:inline>
                    </w:drawing>
                  </w:r>
                </w:p>
              </w:tc>
              <w:tc>
                <w:tcPr>
                  <w:tcW w:w="1746" w:type="dxa"/>
                  <w:shd w:val="clear" w:color="auto" w:fill="auto"/>
                </w:tcPr>
                <w:p w14:paraId="17A45FBC" w14:textId="3D8F85FC" w:rsidR="00E16EB3" w:rsidRPr="008347A2" w:rsidRDefault="00E16EB3" w:rsidP="008659C3">
                  <w:pPr>
                    <w:pStyle w:val="Pavadinimas"/>
                    <w:jc w:val="left"/>
                    <w:rPr>
                      <w:rFonts w:ascii="Times New Roman" w:hAnsi="Times New Roman" w:cs="Times New Roman"/>
                      <w:bCs w:val="0"/>
                      <w:color w:val="17365D"/>
                      <w:spacing w:val="5"/>
                      <w:sz w:val="44"/>
                      <w:szCs w:val="44"/>
                    </w:rPr>
                  </w:pPr>
                  <w:r w:rsidRPr="008347A2">
                    <w:rPr>
                      <w:rFonts w:ascii="Times New Roman" w:hAnsi="Times New Roman" w:cs="Times New Roman"/>
                      <w:bCs w:val="0"/>
                      <w:noProof/>
                      <w:color w:val="17365D"/>
                      <w:spacing w:val="5"/>
                      <w:sz w:val="44"/>
                      <w:szCs w:val="44"/>
                      <w:lang w:eastAsia="lt-LT"/>
                    </w:rPr>
                    <w:drawing>
                      <wp:inline distT="0" distB="0" distL="0" distR="0" wp14:anchorId="6FE941E6" wp14:editId="5AFD66FD">
                        <wp:extent cx="966159" cy="980342"/>
                        <wp:effectExtent l="0" t="0" r="5715" b="0"/>
                        <wp:docPr id="2" name="Picture 2" descr="Anyksciu miesto VVG spalvo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yksciu miesto VVG spalvota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913" cy="984151"/>
                                </a:xfrm>
                                <a:prstGeom prst="rect">
                                  <a:avLst/>
                                </a:prstGeom>
                                <a:noFill/>
                                <a:ln>
                                  <a:noFill/>
                                </a:ln>
                              </pic:spPr>
                            </pic:pic>
                          </a:graphicData>
                        </a:graphic>
                      </wp:inline>
                    </w:drawing>
                  </w:r>
                </w:p>
              </w:tc>
              <w:tc>
                <w:tcPr>
                  <w:tcW w:w="3938" w:type="dxa"/>
                  <w:shd w:val="clear" w:color="auto" w:fill="auto"/>
                </w:tcPr>
                <w:p w14:paraId="7A8332C2" w14:textId="77777777" w:rsidR="007511F4" w:rsidRDefault="007511F4" w:rsidP="002B672D">
                  <w:pPr>
                    <w:pStyle w:val="Default"/>
                    <w:jc w:val="right"/>
                    <w:rPr>
                      <w:rFonts w:eastAsia="Times New Roman"/>
                      <w:color w:val="003300"/>
                      <w:spacing w:val="5"/>
                      <w:kern w:val="28"/>
                      <w:sz w:val="18"/>
                      <w:szCs w:val="18"/>
                    </w:rPr>
                  </w:pPr>
                </w:p>
                <w:p w14:paraId="498450C8" w14:textId="77777777" w:rsidR="002B672D" w:rsidRPr="008347A2" w:rsidRDefault="002B672D" w:rsidP="002B672D">
                  <w:pPr>
                    <w:pStyle w:val="Default"/>
                    <w:jc w:val="right"/>
                    <w:rPr>
                      <w:rFonts w:eastAsia="Times New Roman"/>
                      <w:color w:val="003300"/>
                      <w:spacing w:val="5"/>
                      <w:kern w:val="28"/>
                      <w:sz w:val="18"/>
                      <w:szCs w:val="18"/>
                    </w:rPr>
                  </w:pPr>
                  <w:r w:rsidRPr="008347A2">
                    <w:rPr>
                      <w:rFonts w:eastAsia="Times New Roman"/>
                      <w:color w:val="003300"/>
                      <w:spacing w:val="5"/>
                      <w:kern w:val="28"/>
                      <w:sz w:val="18"/>
                      <w:szCs w:val="18"/>
                    </w:rPr>
                    <w:t xml:space="preserve">PATVIRTINTA </w:t>
                  </w:r>
                </w:p>
                <w:p w14:paraId="7259BBA3" w14:textId="77777777" w:rsidR="002B672D" w:rsidRPr="008347A2" w:rsidRDefault="002B672D" w:rsidP="002B672D">
                  <w:pPr>
                    <w:pStyle w:val="Default"/>
                    <w:jc w:val="right"/>
                    <w:rPr>
                      <w:rFonts w:eastAsia="Times New Roman"/>
                      <w:color w:val="003300"/>
                      <w:spacing w:val="5"/>
                      <w:kern w:val="28"/>
                      <w:sz w:val="18"/>
                      <w:szCs w:val="18"/>
                    </w:rPr>
                  </w:pPr>
                  <w:r w:rsidRPr="008347A2">
                    <w:rPr>
                      <w:rFonts w:eastAsia="Times New Roman"/>
                      <w:color w:val="003300"/>
                      <w:spacing w:val="5"/>
                      <w:kern w:val="28"/>
                      <w:sz w:val="18"/>
                      <w:szCs w:val="18"/>
                    </w:rPr>
                    <w:t xml:space="preserve">Anykščių miesto vietos </w:t>
                  </w:r>
                </w:p>
                <w:p w14:paraId="7D3B38FF" w14:textId="77804F60" w:rsidR="002B672D" w:rsidRPr="008347A2" w:rsidRDefault="002B672D" w:rsidP="002B672D">
                  <w:pPr>
                    <w:pStyle w:val="Default"/>
                    <w:jc w:val="right"/>
                    <w:rPr>
                      <w:rFonts w:eastAsia="Times New Roman"/>
                      <w:color w:val="003300"/>
                      <w:spacing w:val="5"/>
                      <w:kern w:val="28"/>
                      <w:sz w:val="18"/>
                      <w:szCs w:val="18"/>
                    </w:rPr>
                  </w:pPr>
                  <w:r w:rsidRPr="008347A2">
                    <w:rPr>
                      <w:rFonts w:eastAsia="Times New Roman"/>
                      <w:color w:val="003300"/>
                      <w:spacing w:val="5"/>
                      <w:kern w:val="28"/>
                      <w:sz w:val="18"/>
                      <w:szCs w:val="18"/>
                    </w:rPr>
                    <w:t>veiklos grupės valdybos</w:t>
                  </w:r>
                </w:p>
                <w:p w14:paraId="6B010880" w14:textId="6BC4F2B7" w:rsidR="002B672D" w:rsidRPr="008347A2" w:rsidRDefault="002B672D" w:rsidP="002B672D">
                  <w:pPr>
                    <w:pStyle w:val="Default"/>
                    <w:jc w:val="right"/>
                    <w:rPr>
                      <w:rFonts w:eastAsia="Times New Roman"/>
                      <w:color w:val="003300"/>
                      <w:spacing w:val="5"/>
                      <w:kern w:val="28"/>
                      <w:sz w:val="18"/>
                      <w:szCs w:val="18"/>
                    </w:rPr>
                  </w:pPr>
                  <w:r w:rsidRPr="008347A2">
                    <w:rPr>
                      <w:rFonts w:eastAsia="Times New Roman"/>
                      <w:color w:val="003300"/>
                      <w:spacing w:val="5"/>
                      <w:kern w:val="28"/>
                      <w:sz w:val="18"/>
                      <w:szCs w:val="18"/>
                    </w:rPr>
                    <w:t xml:space="preserve">2017 m. birželio    d. sprendimu Nr.        </w:t>
                  </w:r>
                </w:p>
                <w:p w14:paraId="17F97967" w14:textId="44893084" w:rsidR="00E16EB3" w:rsidRPr="008347A2" w:rsidRDefault="00E16EB3" w:rsidP="008659C3">
                  <w:pPr>
                    <w:pStyle w:val="Pavadinimas"/>
                    <w:jc w:val="right"/>
                    <w:rPr>
                      <w:rFonts w:ascii="Times New Roman" w:hAnsi="Times New Roman" w:cs="Times New Roman"/>
                      <w:bCs w:val="0"/>
                      <w:color w:val="003300"/>
                      <w:spacing w:val="5"/>
                      <w:sz w:val="20"/>
                      <w:szCs w:val="20"/>
                    </w:rPr>
                  </w:pPr>
                </w:p>
              </w:tc>
            </w:tr>
          </w:tbl>
          <w:p w14:paraId="6D5A3350" w14:textId="77777777" w:rsidR="00E16EB3" w:rsidRPr="008347A2" w:rsidRDefault="00E16EB3" w:rsidP="00E16EB3">
            <w:pPr>
              <w:pStyle w:val="Pavadinimas"/>
              <w:jc w:val="center"/>
              <w:rPr>
                <w:rFonts w:ascii="Times New Roman" w:hAnsi="Times New Roman" w:cs="Times New Roman"/>
                <w:bCs w:val="0"/>
                <w:color w:val="003300"/>
                <w:spacing w:val="5"/>
                <w:sz w:val="40"/>
                <w:szCs w:val="40"/>
              </w:rPr>
            </w:pPr>
          </w:p>
          <w:p w14:paraId="386F76B4" w14:textId="77777777" w:rsidR="00E16EB3" w:rsidRPr="008347A2" w:rsidRDefault="00E16EB3" w:rsidP="00E16EB3">
            <w:pPr>
              <w:pStyle w:val="Pavadinimas"/>
              <w:jc w:val="center"/>
              <w:rPr>
                <w:rFonts w:ascii="Times New Roman" w:hAnsi="Times New Roman" w:cs="Times New Roman"/>
                <w:bCs w:val="0"/>
                <w:color w:val="003300"/>
                <w:spacing w:val="5"/>
                <w:sz w:val="40"/>
                <w:szCs w:val="40"/>
              </w:rPr>
            </w:pPr>
          </w:p>
          <w:p w14:paraId="2729ADEF"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05027BCD"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r w:rsidRPr="008347A2">
              <w:rPr>
                <w:rFonts w:ascii="Times New Roman" w:hAnsi="Times New Roman" w:cs="Times New Roman"/>
                <w:bCs w:val="0"/>
                <w:color w:val="003300"/>
                <w:spacing w:val="5"/>
                <w:sz w:val="40"/>
                <w:szCs w:val="40"/>
              </w:rPr>
              <w:t>Anykščių miesto 2016-2020 m. vietos plėtros strategijos įgyvendinimo vidaus tvarkos aprašas</w:t>
            </w:r>
          </w:p>
          <w:p w14:paraId="4B541002"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72F700D4"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08E7B8A2"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3CA2DCD1"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4EFE2015"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06219D86"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52A4D3A1"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185798F0"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7392F3AB"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679AE812" w14:textId="77777777" w:rsidR="00E16EB3" w:rsidRPr="008347A2" w:rsidRDefault="00E16EB3" w:rsidP="008659C3">
            <w:pPr>
              <w:pStyle w:val="Pavadinimas"/>
              <w:jc w:val="center"/>
              <w:rPr>
                <w:rFonts w:ascii="Times New Roman" w:hAnsi="Times New Roman" w:cs="Times New Roman"/>
                <w:bCs w:val="0"/>
                <w:color w:val="003300"/>
                <w:spacing w:val="5"/>
                <w:sz w:val="40"/>
                <w:szCs w:val="40"/>
              </w:rPr>
            </w:pPr>
          </w:p>
          <w:p w14:paraId="3CC5EB9B" w14:textId="77777777" w:rsidR="00E16EB3" w:rsidRDefault="00E16EB3" w:rsidP="008659C3">
            <w:pPr>
              <w:pStyle w:val="Pavadinimas"/>
              <w:jc w:val="center"/>
              <w:rPr>
                <w:rFonts w:ascii="Times New Roman" w:hAnsi="Times New Roman" w:cs="Times New Roman"/>
                <w:bCs w:val="0"/>
                <w:color w:val="003300"/>
                <w:spacing w:val="5"/>
                <w:sz w:val="40"/>
                <w:szCs w:val="40"/>
              </w:rPr>
            </w:pPr>
          </w:p>
          <w:p w14:paraId="6C8A8478" w14:textId="77777777" w:rsidR="00696CC2" w:rsidRDefault="00696CC2" w:rsidP="008659C3">
            <w:pPr>
              <w:pStyle w:val="Pavadinimas"/>
              <w:jc w:val="center"/>
              <w:rPr>
                <w:rFonts w:ascii="Times New Roman" w:hAnsi="Times New Roman" w:cs="Times New Roman"/>
                <w:bCs w:val="0"/>
                <w:color w:val="003300"/>
                <w:spacing w:val="5"/>
                <w:sz w:val="40"/>
                <w:szCs w:val="40"/>
              </w:rPr>
            </w:pPr>
          </w:p>
          <w:p w14:paraId="1908D9C5" w14:textId="77777777" w:rsidR="00696CC2" w:rsidRDefault="00696CC2" w:rsidP="008659C3">
            <w:pPr>
              <w:pStyle w:val="Pavadinimas"/>
              <w:jc w:val="center"/>
              <w:rPr>
                <w:rFonts w:ascii="Times New Roman" w:hAnsi="Times New Roman" w:cs="Times New Roman"/>
                <w:bCs w:val="0"/>
                <w:color w:val="003300"/>
                <w:spacing w:val="5"/>
                <w:sz w:val="40"/>
                <w:szCs w:val="40"/>
              </w:rPr>
            </w:pPr>
          </w:p>
          <w:p w14:paraId="287798DD" w14:textId="77777777" w:rsidR="00696CC2" w:rsidRPr="008347A2" w:rsidRDefault="00696CC2" w:rsidP="008659C3">
            <w:pPr>
              <w:pStyle w:val="Pavadinimas"/>
              <w:jc w:val="center"/>
              <w:rPr>
                <w:rFonts w:ascii="Times New Roman" w:hAnsi="Times New Roman" w:cs="Times New Roman"/>
                <w:bCs w:val="0"/>
                <w:color w:val="003300"/>
                <w:spacing w:val="5"/>
                <w:sz w:val="40"/>
                <w:szCs w:val="40"/>
              </w:rPr>
            </w:pPr>
          </w:p>
          <w:p w14:paraId="0FEC76D3" w14:textId="77777777" w:rsidR="00E16EB3" w:rsidRPr="008347A2" w:rsidRDefault="00E16EB3" w:rsidP="008659C3">
            <w:pPr>
              <w:pStyle w:val="Pavadinimas"/>
              <w:jc w:val="center"/>
              <w:rPr>
                <w:rFonts w:ascii="Times New Roman" w:hAnsi="Times New Roman" w:cs="Times New Roman"/>
                <w:sz w:val="20"/>
                <w:szCs w:val="20"/>
              </w:rPr>
            </w:pPr>
          </w:p>
        </w:tc>
      </w:tr>
    </w:tbl>
    <w:p w14:paraId="7BF4EA7A" w14:textId="2F88BFFB" w:rsidR="00E16EB3" w:rsidRPr="008347A2" w:rsidRDefault="00E16EB3" w:rsidP="002B672D">
      <w:pPr>
        <w:jc w:val="center"/>
        <w:rPr>
          <w:rFonts w:ascii="Times New Roman" w:hAnsi="Times New Roman" w:cs="Times New Roman"/>
          <w:sz w:val="24"/>
          <w:szCs w:val="24"/>
          <w:lang w:val="lt-LT"/>
        </w:rPr>
      </w:pPr>
      <w:r w:rsidRPr="008347A2">
        <w:rPr>
          <w:rFonts w:ascii="Times New Roman" w:hAnsi="Times New Roman" w:cs="Times New Roman"/>
          <w:lang w:val="lt-LT"/>
        </w:rPr>
        <w:t>Anykščiai, 2017 m.</w:t>
      </w:r>
      <w:r w:rsidR="002B672D" w:rsidRPr="008347A2">
        <w:rPr>
          <w:rFonts w:ascii="Times New Roman" w:hAnsi="Times New Roman" w:cs="Times New Roman"/>
          <w:lang w:val="lt-LT"/>
        </w:rPr>
        <w:t xml:space="preserve"> </w:t>
      </w:r>
      <w:r w:rsidRPr="008347A2">
        <w:rPr>
          <w:rFonts w:ascii="Times New Roman" w:hAnsi="Times New Roman" w:cs="Times New Roman"/>
          <w:lang w:val="lt-LT"/>
        </w:rPr>
        <w:br w:type="page"/>
      </w:r>
    </w:p>
    <w:tbl>
      <w:tblPr>
        <w:tblW w:w="10349" w:type="dxa"/>
        <w:tblInd w:w="-289" w:type="dxa"/>
        <w:tblBorders>
          <w:top w:val="dotted" w:sz="4" w:space="0" w:color="1F3864"/>
          <w:left w:val="dotted" w:sz="4" w:space="0" w:color="1F3864"/>
          <w:bottom w:val="dotted" w:sz="4" w:space="0" w:color="1F3864"/>
          <w:right w:val="dotted" w:sz="4" w:space="0" w:color="1F3864"/>
          <w:insideH w:val="dotted" w:sz="4" w:space="0" w:color="1F3864"/>
          <w:insideV w:val="dotted" w:sz="4" w:space="0" w:color="1F3864"/>
        </w:tblBorders>
        <w:tblLook w:val="01E0" w:firstRow="1" w:lastRow="1" w:firstColumn="1" w:lastColumn="1" w:noHBand="0" w:noVBand="0"/>
      </w:tblPr>
      <w:tblGrid>
        <w:gridCol w:w="2410"/>
        <w:gridCol w:w="2155"/>
        <w:gridCol w:w="5784"/>
      </w:tblGrid>
      <w:tr w:rsidR="00597941" w:rsidRPr="000F5242" w14:paraId="0149C438" w14:textId="77777777" w:rsidTr="00126E7B">
        <w:tc>
          <w:tcPr>
            <w:tcW w:w="2410" w:type="dxa"/>
            <w:shd w:val="clear" w:color="auto" w:fill="F2F2F2"/>
          </w:tcPr>
          <w:p w14:paraId="2B4E8715" w14:textId="77777777" w:rsidR="00597941" w:rsidRPr="008347A2" w:rsidRDefault="00597941" w:rsidP="008B0BE4">
            <w:pPr>
              <w:spacing w:before="120" w:after="120" w:line="240" w:lineRule="auto"/>
              <w:ind w:right="105"/>
              <w:rPr>
                <w:rFonts w:ascii="Times New Roman" w:hAnsi="Times New Roman" w:cs="Times New Roman"/>
                <w:b/>
                <w:sz w:val="24"/>
                <w:szCs w:val="24"/>
                <w:lang w:val="lt-LT"/>
              </w:rPr>
            </w:pPr>
            <w:r w:rsidRPr="008347A2">
              <w:rPr>
                <w:rFonts w:ascii="Times New Roman" w:hAnsi="Times New Roman" w:cs="Times New Roman"/>
                <w:b/>
                <w:sz w:val="24"/>
                <w:szCs w:val="24"/>
                <w:lang w:val="lt-LT"/>
              </w:rPr>
              <w:lastRenderedPageBreak/>
              <w:t>Dokumento pavadinimas</w:t>
            </w:r>
          </w:p>
        </w:tc>
        <w:tc>
          <w:tcPr>
            <w:tcW w:w="7939" w:type="dxa"/>
            <w:gridSpan w:val="2"/>
          </w:tcPr>
          <w:p w14:paraId="7EA0FE53" w14:textId="206BE84D" w:rsidR="00597941" w:rsidRPr="008347A2" w:rsidRDefault="00597941" w:rsidP="008B0BE4">
            <w:pPr>
              <w:spacing w:before="120" w:after="120" w:line="240" w:lineRule="auto"/>
              <w:rPr>
                <w:rFonts w:ascii="Times New Roman" w:hAnsi="Times New Roman" w:cs="Times New Roman"/>
                <w:sz w:val="24"/>
                <w:szCs w:val="24"/>
                <w:lang w:val="lt-LT"/>
              </w:rPr>
            </w:pPr>
            <w:r w:rsidRPr="008347A2">
              <w:rPr>
                <w:rFonts w:ascii="Times New Roman" w:hAnsi="Times New Roman" w:cs="Times New Roman"/>
                <w:sz w:val="24"/>
                <w:szCs w:val="24"/>
                <w:lang w:val="lt-LT"/>
              </w:rPr>
              <w:t>Anykščių miesto 2016-2020 m. vietos plėtros strategijos įgyvendinimo vidaus tvarkos aprašas</w:t>
            </w:r>
          </w:p>
        </w:tc>
      </w:tr>
      <w:tr w:rsidR="00597941" w:rsidRPr="008347A2" w14:paraId="57F8F6E9" w14:textId="77777777" w:rsidTr="00126E7B">
        <w:tc>
          <w:tcPr>
            <w:tcW w:w="2410" w:type="dxa"/>
            <w:shd w:val="clear" w:color="auto" w:fill="F2F2F2"/>
          </w:tcPr>
          <w:p w14:paraId="663BE462" w14:textId="4409924B" w:rsidR="00597941" w:rsidRPr="008347A2" w:rsidRDefault="00597941" w:rsidP="008B0BE4">
            <w:pPr>
              <w:spacing w:before="120" w:after="120" w:line="240" w:lineRule="auto"/>
              <w:ind w:right="105"/>
              <w:rPr>
                <w:rFonts w:ascii="Times New Roman" w:hAnsi="Times New Roman" w:cs="Times New Roman"/>
                <w:b/>
                <w:sz w:val="24"/>
                <w:szCs w:val="24"/>
                <w:lang w:val="lt-LT"/>
              </w:rPr>
            </w:pPr>
            <w:r w:rsidRPr="008347A2">
              <w:rPr>
                <w:rFonts w:ascii="Times New Roman" w:hAnsi="Times New Roman" w:cs="Times New Roman"/>
                <w:b/>
                <w:sz w:val="24"/>
                <w:szCs w:val="24"/>
                <w:lang w:val="lt-LT"/>
              </w:rPr>
              <w:t>Rengėjas</w:t>
            </w:r>
          </w:p>
        </w:tc>
        <w:tc>
          <w:tcPr>
            <w:tcW w:w="2155" w:type="dxa"/>
          </w:tcPr>
          <w:p w14:paraId="48E76850" w14:textId="77777777" w:rsidR="00597941" w:rsidRPr="008347A2" w:rsidRDefault="00597941" w:rsidP="008B0BE4">
            <w:pPr>
              <w:spacing w:before="120" w:after="120" w:line="240" w:lineRule="auto"/>
              <w:rPr>
                <w:rFonts w:ascii="Times New Roman" w:hAnsi="Times New Roman" w:cs="Times New Roman"/>
                <w:sz w:val="24"/>
                <w:szCs w:val="24"/>
                <w:lang w:val="lt-LT"/>
              </w:rPr>
            </w:pPr>
            <w:r w:rsidRPr="008347A2">
              <w:rPr>
                <w:rFonts w:ascii="Times New Roman" w:hAnsi="Times New Roman" w:cs="Times New Roman"/>
                <w:noProof/>
                <w:sz w:val="24"/>
                <w:szCs w:val="24"/>
                <w:lang w:val="lt-LT" w:eastAsia="lt-LT"/>
              </w:rPr>
              <w:drawing>
                <wp:inline distT="0" distB="0" distL="0" distR="0" wp14:anchorId="004F2825" wp14:editId="78F8CE87">
                  <wp:extent cx="914539" cy="759124"/>
                  <wp:effectExtent l="0" t="0" r="0" b="3175"/>
                  <wp:docPr id="4" name="Picture 4" descr="I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50" cy="766936"/>
                          </a:xfrm>
                          <a:prstGeom prst="rect">
                            <a:avLst/>
                          </a:prstGeom>
                          <a:noFill/>
                          <a:ln>
                            <a:noFill/>
                          </a:ln>
                        </pic:spPr>
                      </pic:pic>
                    </a:graphicData>
                  </a:graphic>
                </wp:inline>
              </w:drawing>
            </w:r>
          </w:p>
        </w:tc>
        <w:tc>
          <w:tcPr>
            <w:tcW w:w="5784" w:type="dxa"/>
          </w:tcPr>
          <w:p w14:paraId="2799F281" w14:textId="7861542E" w:rsidR="00597941" w:rsidRPr="008347A2" w:rsidRDefault="00597941" w:rsidP="008B0BE4">
            <w:pPr>
              <w:spacing w:before="120" w:after="120" w:line="240" w:lineRule="auto"/>
              <w:rPr>
                <w:rFonts w:ascii="Times New Roman" w:hAnsi="Times New Roman" w:cs="Times New Roman"/>
                <w:sz w:val="24"/>
                <w:szCs w:val="24"/>
                <w:lang w:val="lt-LT"/>
              </w:rPr>
            </w:pPr>
            <w:r w:rsidRPr="008347A2">
              <w:rPr>
                <w:rFonts w:ascii="Times New Roman" w:hAnsi="Times New Roman" w:cs="Times New Roman"/>
                <w:sz w:val="24"/>
                <w:szCs w:val="24"/>
                <w:lang w:val="lt-LT"/>
              </w:rPr>
              <w:t>UAB „Informacinės konsultacijos“</w:t>
            </w:r>
          </w:p>
        </w:tc>
      </w:tr>
      <w:tr w:rsidR="00597941" w:rsidRPr="000F5242" w14:paraId="5711F13D" w14:textId="77777777" w:rsidTr="00126E7B">
        <w:tc>
          <w:tcPr>
            <w:tcW w:w="2410" w:type="dxa"/>
            <w:shd w:val="clear" w:color="auto" w:fill="F2F2F2"/>
          </w:tcPr>
          <w:p w14:paraId="40B92DFC" w14:textId="4E7A33BE" w:rsidR="00597941" w:rsidRPr="008347A2" w:rsidRDefault="00597941" w:rsidP="008B0BE4">
            <w:pPr>
              <w:spacing w:before="120" w:after="120" w:line="240" w:lineRule="auto"/>
              <w:ind w:right="105"/>
              <w:rPr>
                <w:rFonts w:ascii="Times New Roman" w:hAnsi="Times New Roman" w:cs="Times New Roman"/>
                <w:b/>
                <w:sz w:val="24"/>
                <w:szCs w:val="24"/>
                <w:lang w:val="lt-LT"/>
              </w:rPr>
            </w:pPr>
            <w:r w:rsidRPr="008347A2">
              <w:rPr>
                <w:rFonts w:ascii="Times New Roman" w:hAnsi="Times New Roman" w:cs="Times New Roman"/>
                <w:b/>
                <w:sz w:val="24"/>
                <w:szCs w:val="24"/>
                <w:lang w:val="lt-LT"/>
              </w:rPr>
              <w:t>Užsakovas</w:t>
            </w:r>
          </w:p>
        </w:tc>
        <w:tc>
          <w:tcPr>
            <w:tcW w:w="2155" w:type="dxa"/>
          </w:tcPr>
          <w:p w14:paraId="1B25EBAC" w14:textId="291617D4" w:rsidR="00597941" w:rsidRPr="008347A2" w:rsidRDefault="00597941" w:rsidP="008B0BE4">
            <w:pPr>
              <w:spacing w:before="120" w:after="120" w:line="240" w:lineRule="auto"/>
              <w:rPr>
                <w:rFonts w:ascii="Times New Roman" w:hAnsi="Times New Roman" w:cs="Times New Roman"/>
                <w:noProof/>
                <w:sz w:val="24"/>
                <w:szCs w:val="24"/>
                <w:lang w:val="lt-LT" w:eastAsia="lt-LT"/>
              </w:rPr>
            </w:pPr>
            <w:r w:rsidRPr="008347A2">
              <w:rPr>
                <w:rFonts w:ascii="Times New Roman" w:hAnsi="Times New Roman" w:cs="Times New Roman"/>
                <w:bCs/>
                <w:noProof/>
                <w:color w:val="17365D"/>
                <w:spacing w:val="5"/>
                <w:sz w:val="24"/>
                <w:szCs w:val="24"/>
                <w:lang w:val="lt-LT" w:eastAsia="lt-LT"/>
              </w:rPr>
              <w:drawing>
                <wp:inline distT="0" distB="0" distL="0" distR="0" wp14:anchorId="4F9CEA6B" wp14:editId="5169CC77">
                  <wp:extent cx="802257" cy="814034"/>
                  <wp:effectExtent l="0" t="0" r="0" b="5715"/>
                  <wp:docPr id="5" name="Picture 5" descr="Anyksciu miesto VVG spalvo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yksciu miesto VVG spalvota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074" cy="826025"/>
                          </a:xfrm>
                          <a:prstGeom prst="rect">
                            <a:avLst/>
                          </a:prstGeom>
                          <a:noFill/>
                          <a:ln>
                            <a:noFill/>
                          </a:ln>
                        </pic:spPr>
                      </pic:pic>
                    </a:graphicData>
                  </a:graphic>
                </wp:inline>
              </w:drawing>
            </w:r>
          </w:p>
        </w:tc>
        <w:tc>
          <w:tcPr>
            <w:tcW w:w="5784" w:type="dxa"/>
          </w:tcPr>
          <w:p w14:paraId="18CEF822" w14:textId="13934D7D" w:rsidR="00597941" w:rsidRPr="008347A2" w:rsidRDefault="00597941" w:rsidP="008B0BE4">
            <w:pPr>
              <w:spacing w:before="120" w:after="120" w:line="240" w:lineRule="auto"/>
              <w:rPr>
                <w:rFonts w:ascii="Times New Roman" w:hAnsi="Times New Roman" w:cs="Times New Roman"/>
                <w:sz w:val="24"/>
                <w:szCs w:val="24"/>
                <w:lang w:val="lt-LT"/>
              </w:rPr>
            </w:pPr>
            <w:r w:rsidRPr="008347A2">
              <w:rPr>
                <w:rFonts w:ascii="Times New Roman" w:hAnsi="Times New Roman" w:cs="Times New Roman"/>
                <w:sz w:val="24"/>
                <w:szCs w:val="24"/>
                <w:lang w:val="lt-LT"/>
              </w:rPr>
              <w:t>Asociacija „Anykščių miesto vietos veiklos grupė“</w:t>
            </w:r>
          </w:p>
        </w:tc>
      </w:tr>
      <w:tr w:rsidR="00597941" w:rsidRPr="008347A2" w14:paraId="0574960F" w14:textId="77777777" w:rsidTr="00126E7B">
        <w:tc>
          <w:tcPr>
            <w:tcW w:w="2410" w:type="dxa"/>
            <w:shd w:val="clear" w:color="auto" w:fill="F2F2F2"/>
          </w:tcPr>
          <w:p w14:paraId="4EC67A4F" w14:textId="77777777" w:rsidR="00597941" w:rsidRPr="008347A2" w:rsidRDefault="00597941" w:rsidP="008B0BE4">
            <w:pPr>
              <w:spacing w:before="120" w:after="120" w:line="240" w:lineRule="auto"/>
              <w:ind w:right="105"/>
              <w:rPr>
                <w:rFonts w:ascii="Times New Roman" w:hAnsi="Times New Roman" w:cs="Times New Roman"/>
                <w:b/>
                <w:sz w:val="24"/>
                <w:szCs w:val="24"/>
                <w:lang w:val="lt-LT"/>
              </w:rPr>
            </w:pPr>
            <w:r w:rsidRPr="008347A2">
              <w:rPr>
                <w:rFonts w:ascii="Times New Roman" w:hAnsi="Times New Roman" w:cs="Times New Roman"/>
                <w:b/>
                <w:sz w:val="24"/>
                <w:szCs w:val="24"/>
                <w:lang w:val="lt-LT"/>
              </w:rPr>
              <w:t>Paslaugų sutartis</w:t>
            </w:r>
          </w:p>
        </w:tc>
        <w:tc>
          <w:tcPr>
            <w:tcW w:w="7939" w:type="dxa"/>
            <w:gridSpan w:val="2"/>
          </w:tcPr>
          <w:p w14:paraId="2F4F04B6" w14:textId="77777777" w:rsidR="00597941" w:rsidRPr="008347A2" w:rsidRDefault="00597941" w:rsidP="008B0BE4">
            <w:pPr>
              <w:spacing w:before="120" w:after="120" w:line="240" w:lineRule="auto"/>
              <w:rPr>
                <w:rFonts w:ascii="Times New Roman" w:hAnsi="Times New Roman" w:cs="Times New Roman"/>
                <w:sz w:val="24"/>
                <w:szCs w:val="24"/>
                <w:lang w:val="lt-LT"/>
              </w:rPr>
            </w:pPr>
            <w:r w:rsidRPr="008347A2">
              <w:rPr>
                <w:rFonts w:ascii="Times New Roman" w:hAnsi="Times New Roman" w:cs="Times New Roman"/>
                <w:sz w:val="24"/>
                <w:szCs w:val="24"/>
                <w:lang w:val="lt-LT"/>
              </w:rPr>
              <w:t>2017-04-24 Anykščių miesto 2016-2020 m. Vietos plėtros strategijos įgyvendinimo aprašo ir vietos plėtros projektų atrankos kriterijų parengimo paslaugų sutartis NR. FS170413-1</w:t>
            </w:r>
          </w:p>
        </w:tc>
      </w:tr>
    </w:tbl>
    <w:p w14:paraId="07FB45A6" w14:textId="77777777" w:rsidR="00597941" w:rsidRPr="008347A2" w:rsidRDefault="00597941" w:rsidP="008B0BE4">
      <w:pPr>
        <w:spacing w:before="120" w:after="120" w:line="240" w:lineRule="auto"/>
        <w:rPr>
          <w:rFonts w:ascii="Times New Roman" w:hAnsi="Times New Roman" w:cs="Times New Roman"/>
          <w:b/>
          <w:sz w:val="24"/>
          <w:szCs w:val="24"/>
          <w:lang w:val="lt-LT"/>
        </w:rPr>
      </w:pPr>
      <w:r w:rsidRPr="008347A2">
        <w:rPr>
          <w:rFonts w:ascii="Times New Roman" w:hAnsi="Times New Roman" w:cs="Times New Roman"/>
          <w:b/>
          <w:sz w:val="24"/>
          <w:szCs w:val="24"/>
          <w:lang w:val="lt-LT"/>
        </w:rPr>
        <w:t>Versijų valdymas</w:t>
      </w:r>
    </w:p>
    <w:tbl>
      <w:tblPr>
        <w:tblW w:w="10349" w:type="dxa"/>
        <w:tblInd w:w="-289" w:type="dxa"/>
        <w:tblBorders>
          <w:top w:val="dotted" w:sz="4" w:space="0" w:color="1F3864"/>
          <w:left w:val="dotted" w:sz="4" w:space="0" w:color="1F3864"/>
          <w:bottom w:val="dotted" w:sz="4" w:space="0" w:color="1F3864"/>
          <w:right w:val="dotted" w:sz="4" w:space="0" w:color="1F3864"/>
          <w:insideH w:val="dotted" w:sz="4" w:space="0" w:color="1F3864"/>
          <w:insideV w:val="dotted" w:sz="4" w:space="0" w:color="1F3864"/>
        </w:tblBorders>
        <w:tblLayout w:type="fixed"/>
        <w:tblLook w:val="01E0" w:firstRow="1" w:lastRow="1" w:firstColumn="1" w:lastColumn="1" w:noHBand="0" w:noVBand="0"/>
      </w:tblPr>
      <w:tblGrid>
        <w:gridCol w:w="1022"/>
        <w:gridCol w:w="1388"/>
        <w:gridCol w:w="3686"/>
        <w:gridCol w:w="4253"/>
      </w:tblGrid>
      <w:tr w:rsidR="00597941" w:rsidRPr="008347A2" w14:paraId="7489A873" w14:textId="77777777" w:rsidTr="00126E7B">
        <w:trPr>
          <w:trHeight w:val="372"/>
        </w:trPr>
        <w:tc>
          <w:tcPr>
            <w:tcW w:w="1022" w:type="dxa"/>
            <w:shd w:val="clear" w:color="auto" w:fill="F2F2F2"/>
          </w:tcPr>
          <w:p w14:paraId="4DABB963" w14:textId="77777777" w:rsidR="00597941" w:rsidRPr="008347A2" w:rsidRDefault="00597941" w:rsidP="008B0BE4">
            <w:pPr>
              <w:pStyle w:val="NoSpacing"/>
              <w:spacing w:before="120" w:after="120"/>
              <w:ind w:right="-108"/>
              <w:rPr>
                <w:rFonts w:ascii="Times New Roman" w:hAnsi="Times New Roman"/>
                <w:b/>
                <w:sz w:val="24"/>
                <w:szCs w:val="24"/>
              </w:rPr>
            </w:pPr>
            <w:r w:rsidRPr="008347A2">
              <w:rPr>
                <w:rFonts w:ascii="Times New Roman" w:hAnsi="Times New Roman"/>
                <w:b/>
                <w:sz w:val="24"/>
                <w:szCs w:val="24"/>
              </w:rPr>
              <w:t>Versija</w:t>
            </w:r>
          </w:p>
        </w:tc>
        <w:tc>
          <w:tcPr>
            <w:tcW w:w="1388" w:type="dxa"/>
            <w:shd w:val="clear" w:color="auto" w:fill="F2F2F2"/>
          </w:tcPr>
          <w:p w14:paraId="4FF3DAC3" w14:textId="77777777" w:rsidR="00597941" w:rsidRPr="008347A2" w:rsidRDefault="00597941" w:rsidP="008B0BE4">
            <w:pPr>
              <w:pStyle w:val="NoSpacing"/>
              <w:spacing w:before="120" w:after="120"/>
              <w:rPr>
                <w:rFonts w:ascii="Times New Roman" w:hAnsi="Times New Roman"/>
                <w:b/>
                <w:sz w:val="24"/>
                <w:szCs w:val="24"/>
              </w:rPr>
            </w:pPr>
            <w:r w:rsidRPr="008347A2">
              <w:rPr>
                <w:rFonts w:ascii="Times New Roman" w:hAnsi="Times New Roman"/>
                <w:b/>
                <w:sz w:val="24"/>
                <w:szCs w:val="24"/>
              </w:rPr>
              <w:t>Data</w:t>
            </w:r>
          </w:p>
        </w:tc>
        <w:tc>
          <w:tcPr>
            <w:tcW w:w="3686" w:type="dxa"/>
            <w:shd w:val="clear" w:color="auto" w:fill="F2F2F2"/>
          </w:tcPr>
          <w:p w14:paraId="591C55D6" w14:textId="77777777" w:rsidR="00597941" w:rsidRPr="008347A2" w:rsidRDefault="00597941" w:rsidP="008B0BE4">
            <w:pPr>
              <w:pStyle w:val="NoSpacing"/>
              <w:spacing w:before="120" w:after="120"/>
              <w:rPr>
                <w:rFonts w:ascii="Times New Roman" w:hAnsi="Times New Roman"/>
                <w:b/>
                <w:sz w:val="24"/>
                <w:szCs w:val="24"/>
              </w:rPr>
            </w:pPr>
            <w:r w:rsidRPr="008347A2">
              <w:rPr>
                <w:rFonts w:ascii="Times New Roman" w:hAnsi="Times New Roman"/>
                <w:b/>
                <w:sz w:val="24"/>
                <w:szCs w:val="24"/>
              </w:rPr>
              <w:t>Komentarai</w:t>
            </w:r>
          </w:p>
        </w:tc>
        <w:tc>
          <w:tcPr>
            <w:tcW w:w="4253" w:type="dxa"/>
            <w:shd w:val="clear" w:color="auto" w:fill="F2F2F2"/>
          </w:tcPr>
          <w:p w14:paraId="2F15DB45" w14:textId="77777777" w:rsidR="00597941" w:rsidRPr="008347A2" w:rsidRDefault="00597941" w:rsidP="008B0BE4">
            <w:pPr>
              <w:pStyle w:val="NoSpacing"/>
              <w:spacing w:before="120" w:after="120"/>
              <w:rPr>
                <w:rFonts w:ascii="Times New Roman" w:hAnsi="Times New Roman"/>
                <w:b/>
                <w:sz w:val="24"/>
                <w:szCs w:val="24"/>
              </w:rPr>
            </w:pPr>
            <w:r w:rsidRPr="008347A2">
              <w:rPr>
                <w:rFonts w:ascii="Times New Roman" w:hAnsi="Times New Roman"/>
                <w:b/>
                <w:sz w:val="24"/>
                <w:szCs w:val="24"/>
              </w:rPr>
              <w:t>Autorius</w:t>
            </w:r>
          </w:p>
        </w:tc>
      </w:tr>
      <w:tr w:rsidR="00597941" w:rsidRPr="008347A2" w14:paraId="16FD2CEE" w14:textId="77777777" w:rsidTr="00126E7B">
        <w:trPr>
          <w:trHeight w:val="307"/>
        </w:trPr>
        <w:tc>
          <w:tcPr>
            <w:tcW w:w="1022" w:type="dxa"/>
          </w:tcPr>
          <w:p w14:paraId="6010416E" w14:textId="0FE77370" w:rsidR="00597941" w:rsidRPr="008347A2" w:rsidRDefault="00597941" w:rsidP="008B0BE4">
            <w:pPr>
              <w:pStyle w:val="NoSpacing"/>
              <w:spacing w:before="120" w:after="120"/>
              <w:rPr>
                <w:rFonts w:ascii="Times New Roman" w:hAnsi="Times New Roman"/>
                <w:sz w:val="24"/>
                <w:szCs w:val="24"/>
              </w:rPr>
            </w:pPr>
            <w:r w:rsidRPr="008347A2">
              <w:rPr>
                <w:rFonts w:ascii="Times New Roman" w:hAnsi="Times New Roman"/>
                <w:sz w:val="24"/>
                <w:szCs w:val="24"/>
              </w:rPr>
              <w:t>v1</w:t>
            </w:r>
          </w:p>
        </w:tc>
        <w:tc>
          <w:tcPr>
            <w:tcW w:w="1388" w:type="dxa"/>
          </w:tcPr>
          <w:p w14:paraId="6AAB0A53" w14:textId="77777777" w:rsidR="00597941" w:rsidRPr="008347A2" w:rsidRDefault="00597941" w:rsidP="008B0BE4">
            <w:pPr>
              <w:pStyle w:val="NoSpacing"/>
              <w:spacing w:before="120" w:after="120"/>
              <w:rPr>
                <w:rFonts w:ascii="Times New Roman" w:hAnsi="Times New Roman"/>
                <w:sz w:val="24"/>
                <w:szCs w:val="24"/>
                <w:highlight w:val="cyan"/>
              </w:rPr>
            </w:pPr>
            <w:r w:rsidRPr="008347A2">
              <w:rPr>
                <w:rFonts w:ascii="Times New Roman" w:hAnsi="Times New Roman"/>
                <w:sz w:val="24"/>
                <w:szCs w:val="24"/>
              </w:rPr>
              <w:t>2017.06.09</w:t>
            </w:r>
          </w:p>
        </w:tc>
        <w:tc>
          <w:tcPr>
            <w:tcW w:w="3686" w:type="dxa"/>
          </w:tcPr>
          <w:p w14:paraId="3EB80B89" w14:textId="77777777" w:rsidR="00597941" w:rsidRPr="008347A2" w:rsidRDefault="00597941" w:rsidP="008B0BE4">
            <w:pPr>
              <w:spacing w:before="120" w:after="120" w:line="240" w:lineRule="auto"/>
              <w:rPr>
                <w:rFonts w:ascii="Times New Roman" w:hAnsi="Times New Roman" w:cs="Times New Roman"/>
                <w:sz w:val="24"/>
                <w:szCs w:val="24"/>
                <w:lang w:val="lt-LT"/>
              </w:rPr>
            </w:pPr>
            <w:r w:rsidRPr="008347A2">
              <w:rPr>
                <w:rFonts w:ascii="Times New Roman" w:hAnsi="Times New Roman" w:cs="Times New Roman"/>
                <w:sz w:val="24"/>
                <w:szCs w:val="24"/>
                <w:lang w:val="lt-LT"/>
              </w:rPr>
              <w:t xml:space="preserve">Parengtas ir pateiktas derinimui su Užsakovu dokumentas </w:t>
            </w:r>
          </w:p>
        </w:tc>
        <w:tc>
          <w:tcPr>
            <w:tcW w:w="4253" w:type="dxa"/>
          </w:tcPr>
          <w:p w14:paraId="359F6A80" w14:textId="77777777" w:rsidR="00597941" w:rsidRPr="008347A2" w:rsidRDefault="00597941" w:rsidP="008B0BE4">
            <w:pPr>
              <w:spacing w:before="120" w:after="120" w:line="240" w:lineRule="auto"/>
              <w:rPr>
                <w:rFonts w:ascii="Times New Roman" w:hAnsi="Times New Roman" w:cs="Times New Roman"/>
                <w:sz w:val="24"/>
                <w:szCs w:val="24"/>
                <w:lang w:val="lt-LT"/>
              </w:rPr>
            </w:pPr>
            <w:r w:rsidRPr="008347A2">
              <w:rPr>
                <w:rFonts w:ascii="Times New Roman" w:hAnsi="Times New Roman" w:cs="Times New Roman"/>
                <w:sz w:val="24"/>
                <w:szCs w:val="24"/>
                <w:lang w:val="lt-LT"/>
              </w:rPr>
              <w:t>Sonata Venčkauskienė,</w:t>
            </w:r>
          </w:p>
          <w:p w14:paraId="3FC58146" w14:textId="77777777" w:rsidR="00597941" w:rsidRPr="008347A2" w:rsidRDefault="00597941" w:rsidP="008B0BE4">
            <w:pPr>
              <w:spacing w:before="120" w:after="120" w:line="240" w:lineRule="auto"/>
              <w:rPr>
                <w:rFonts w:ascii="Times New Roman" w:hAnsi="Times New Roman" w:cs="Times New Roman"/>
                <w:sz w:val="24"/>
                <w:szCs w:val="24"/>
                <w:lang w:val="lt-LT"/>
              </w:rPr>
            </w:pPr>
            <w:r w:rsidRPr="008347A2">
              <w:rPr>
                <w:rFonts w:ascii="Times New Roman" w:hAnsi="Times New Roman" w:cs="Times New Roman"/>
                <w:sz w:val="24"/>
                <w:szCs w:val="24"/>
                <w:lang w:val="lt-LT"/>
              </w:rPr>
              <w:t>UAB „Informacinės konsultacijos“</w:t>
            </w:r>
          </w:p>
        </w:tc>
      </w:tr>
      <w:tr w:rsidR="00597941" w:rsidRPr="008347A2" w14:paraId="6CEE27CB" w14:textId="77777777" w:rsidTr="00126E7B">
        <w:trPr>
          <w:trHeight w:val="307"/>
        </w:trPr>
        <w:tc>
          <w:tcPr>
            <w:tcW w:w="1022" w:type="dxa"/>
          </w:tcPr>
          <w:p w14:paraId="09B1596A" w14:textId="77777777" w:rsidR="00597941" w:rsidRPr="008347A2" w:rsidRDefault="00597941" w:rsidP="008B0BE4">
            <w:pPr>
              <w:pStyle w:val="NoSpacing"/>
              <w:spacing w:before="120" w:after="120"/>
              <w:rPr>
                <w:rFonts w:ascii="Times New Roman" w:hAnsi="Times New Roman"/>
                <w:sz w:val="24"/>
                <w:szCs w:val="24"/>
              </w:rPr>
            </w:pPr>
          </w:p>
        </w:tc>
        <w:tc>
          <w:tcPr>
            <w:tcW w:w="1388" w:type="dxa"/>
          </w:tcPr>
          <w:p w14:paraId="73BFFEC3" w14:textId="77777777" w:rsidR="00597941" w:rsidRPr="008347A2" w:rsidRDefault="00597941" w:rsidP="008B0BE4">
            <w:pPr>
              <w:pStyle w:val="NoSpacing"/>
              <w:spacing w:before="120" w:after="120"/>
              <w:rPr>
                <w:rFonts w:ascii="Times New Roman" w:hAnsi="Times New Roman"/>
                <w:sz w:val="24"/>
                <w:szCs w:val="24"/>
              </w:rPr>
            </w:pPr>
          </w:p>
        </w:tc>
        <w:tc>
          <w:tcPr>
            <w:tcW w:w="3686" w:type="dxa"/>
          </w:tcPr>
          <w:p w14:paraId="279D7514" w14:textId="77777777" w:rsidR="00597941" w:rsidRPr="008347A2" w:rsidRDefault="00597941" w:rsidP="008B0BE4">
            <w:pPr>
              <w:pStyle w:val="NoSpacing"/>
              <w:spacing w:before="120" w:after="120"/>
              <w:rPr>
                <w:rFonts w:ascii="Times New Roman" w:hAnsi="Times New Roman"/>
                <w:sz w:val="24"/>
                <w:szCs w:val="24"/>
              </w:rPr>
            </w:pPr>
          </w:p>
        </w:tc>
        <w:tc>
          <w:tcPr>
            <w:tcW w:w="4253" w:type="dxa"/>
          </w:tcPr>
          <w:p w14:paraId="5EA14C04" w14:textId="77777777" w:rsidR="00597941" w:rsidRPr="008347A2" w:rsidRDefault="00597941" w:rsidP="008B0BE4">
            <w:pPr>
              <w:pStyle w:val="NoSpacing"/>
              <w:spacing w:before="120" w:after="120"/>
              <w:rPr>
                <w:rFonts w:ascii="Times New Roman" w:hAnsi="Times New Roman"/>
                <w:sz w:val="24"/>
                <w:szCs w:val="24"/>
              </w:rPr>
            </w:pPr>
          </w:p>
        </w:tc>
      </w:tr>
      <w:tr w:rsidR="00597941" w:rsidRPr="008347A2" w14:paraId="76E0F80B" w14:textId="77777777" w:rsidTr="00126E7B">
        <w:trPr>
          <w:trHeight w:val="307"/>
        </w:trPr>
        <w:tc>
          <w:tcPr>
            <w:tcW w:w="1022" w:type="dxa"/>
          </w:tcPr>
          <w:p w14:paraId="077977A2" w14:textId="77777777" w:rsidR="00597941" w:rsidRPr="008347A2" w:rsidRDefault="00597941" w:rsidP="008B0BE4">
            <w:pPr>
              <w:pStyle w:val="NoSpacing"/>
              <w:spacing w:before="120" w:after="120"/>
              <w:rPr>
                <w:rFonts w:ascii="Times New Roman" w:hAnsi="Times New Roman"/>
                <w:sz w:val="24"/>
                <w:szCs w:val="24"/>
              </w:rPr>
            </w:pPr>
          </w:p>
        </w:tc>
        <w:tc>
          <w:tcPr>
            <w:tcW w:w="1388" w:type="dxa"/>
          </w:tcPr>
          <w:p w14:paraId="59EF3015" w14:textId="77777777" w:rsidR="00597941" w:rsidRPr="008347A2" w:rsidRDefault="00597941" w:rsidP="008B0BE4">
            <w:pPr>
              <w:pStyle w:val="NoSpacing"/>
              <w:spacing w:before="120" w:after="120"/>
              <w:rPr>
                <w:rFonts w:ascii="Times New Roman" w:hAnsi="Times New Roman"/>
                <w:sz w:val="24"/>
                <w:szCs w:val="24"/>
              </w:rPr>
            </w:pPr>
          </w:p>
        </w:tc>
        <w:tc>
          <w:tcPr>
            <w:tcW w:w="3686" w:type="dxa"/>
          </w:tcPr>
          <w:p w14:paraId="4814723D" w14:textId="77777777" w:rsidR="00597941" w:rsidRPr="008347A2" w:rsidRDefault="00597941" w:rsidP="008B0BE4">
            <w:pPr>
              <w:pStyle w:val="NoSpacing"/>
              <w:spacing w:before="120" w:after="120"/>
              <w:rPr>
                <w:rFonts w:ascii="Times New Roman" w:hAnsi="Times New Roman"/>
                <w:sz w:val="24"/>
                <w:szCs w:val="24"/>
              </w:rPr>
            </w:pPr>
          </w:p>
        </w:tc>
        <w:tc>
          <w:tcPr>
            <w:tcW w:w="4253" w:type="dxa"/>
          </w:tcPr>
          <w:p w14:paraId="536F7B7B" w14:textId="77777777" w:rsidR="00597941" w:rsidRPr="008347A2" w:rsidRDefault="00597941" w:rsidP="008B0BE4">
            <w:pPr>
              <w:pStyle w:val="NoSpacing"/>
              <w:spacing w:before="120" w:after="120"/>
              <w:rPr>
                <w:rFonts w:ascii="Times New Roman" w:hAnsi="Times New Roman"/>
                <w:sz w:val="24"/>
                <w:szCs w:val="24"/>
              </w:rPr>
            </w:pPr>
          </w:p>
        </w:tc>
      </w:tr>
    </w:tbl>
    <w:p w14:paraId="2F98C073" w14:textId="77777777" w:rsidR="00597941" w:rsidRPr="008347A2" w:rsidRDefault="00597941" w:rsidP="008B0BE4">
      <w:pPr>
        <w:spacing w:before="120" w:after="120" w:line="240" w:lineRule="auto"/>
        <w:rPr>
          <w:rFonts w:ascii="Times New Roman" w:hAnsi="Times New Roman" w:cs="Times New Roman"/>
          <w:b/>
          <w:sz w:val="24"/>
          <w:szCs w:val="24"/>
          <w:lang w:val="lt-LT"/>
        </w:rPr>
      </w:pPr>
      <w:r w:rsidRPr="008347A2">
        <w:rPr>
          <w:rFonts w:ascii="Times New Roman" w:hAnsi="Times New Roman" w:cs="Times New Roman"/>
          <w:b/>
          <w:sz w:val="24"/>
          <w:szCs w:val="24"/>
          <w:lang w:val="lt-LT"/>
        </w:rPr>
        <w:t>Konfidencialumas</w:t>
      </w:r>
    </w:p>
    <w:tbl>
      <w:tblPr>
        <w:tblW w:w="10349" w:type="dxa"/>
        <w:tblInd w:w="-289" w:type="dxa"/>
        <w:tblBorders>
          <w:top w:val="dotted" w:sz="4" w:space="0" w:color="1F3864"/>
          <w:left w:val="dotted" w:sz="4" w:space="0" w:color="1F3864"/>
          <w:bottom w:val="dotted" w:sz="4" w:space="0" w:color="1F3864"/>
          <w:right w:val="dotted" w:sz="4" w:space="0" w:color="1F3864"/>
          <w:insideH w:val="dotted" w:sz="4" w:space="0" w:color="1F3864"/>
          <w:insideV w:val="dotted" w:sz="4" w:space="0" w:color="1F3864"/>
        </w:tblBorders>
        <w:tblLayout w:type="fixed"/>
        <w:tblLook w:val="01E0" w:firstRow="1" w:lastRow="1" w:firstColumn="1" w:lastColumn="1" w:noHBand="0" w:noVBand="0"/>
      </w:tblPr>
      <w:tblGrid>
        <w:gridCol w:w="2410"/>
        <w:gridCol w:w="7939"/>
      </w:tblGrid>
      <w:tr w:rsidR="008347A2" w:rsidRPr="008347A2" w14:paraId="6293A89B" w14:textId="77777777" w:rsidTr="00126E7B">
        <w:tc>
          <w:tcPr>
            <w:tcW w:w="2410" w:type="dxa"/>
            <w:shd w:val="clear" w:color="auto" w:fill="F2F2F2"/>
          </w:tcPr>
          <w:p w14:paraId="121BB866" w14:textId="77777777" w:rsidR="008347A2" w:rsidRPr="008347A2" w:rsidRDefault="008347A2" w:rsidP="008B0BE4">
            <w:pPr>
              <w:pStyle w:val="NoSpacing"/>
              <w:spacing w:before="120" w:after="120"/>
              <w:rPr>
                <w:rFonts w:ascii="Times New Roman" w:hAnsi="Times New Roman"/>
                <w:b/>
                <w:sz w:val="24"/>
                <w:szCs w:val="24"/>
              </w:rPr>
            </w:pPr>
            <w:r w:rsidRPr="008347A2">
              <w:rPr>
                <w:rFonts w:ascii="Times New Roman" w:hAnsi="Times New Roman"/>
                <w:b/>
                <w:sz w:val="24"/>
                <w:szCs w:val="24"/>
              </w:rPr>
              <w:t>Konfidencialumo lygis</w:t>
            </w:r>
          </w:p>
        </w:tc>
        <w:tc>
          <w:tcPr>
            <w:tcW w:w="7939" w:type="dxa"/>
            <w:shd w:val="clear" w:color="auto" w:fill="F2F2F2"/>
          </w:tcPr>
          <w:p w14:paraId="12019A93" w14:textId="55A5F9B7" w:rsidR="008347A2" w:rsidRPr="008347A2" w:rsidRDefault="008347A2" w:rsidP="008B0BE4">
            <w:pPr>
              <w:pStyle w:val="NoSpacing"/>
              <w:spacing w:before="120" w:after="120"/>
              <w:rPr>
                <w:rFonts w:ascii="Times New Roman" w:hAnsi="Times New Roman"/>
                <w:b/>
                <w:sz w:val="24"/>
                <w:szCs w:val="24"/>
              </w:rPr>
            </w:pPr>
            <w:r w:rsidRPr="008347A2">
              <w:rPr>
                <w:rFonts w:ascii="Times New Roman" w:hAnsi="Times New Roman"/>
                <w:b/>
                <w:sz w:val="24"/>
                <w:szCs w:val="24"/>
              </w:rPr>
              <w:t>Naudotojai</w:t>
            </w:r>
          </w:p>
        </w:tc>
      </w:tr>
      <w:tr w:rsidR="008347A2" w:rsidRPr="000F5242" w14:paraId="3043055C" w14:textId="77777777" w:rsidTr="00126E7B">
        <w:tc>
          <w:tcPr>
            <w:tcW w:w="2410" w:type="dxa"/>
          </w:tcPr>
          <w:p w14:paraId="55B82CC8" w14:textId="77777777" w:rsidR="008347A2" w:rsidRPr="008347A2" w:rsidRDefault="008347A2" w:rsidP="008B0BE4">
            <w:pPr>
              <w:pStyle w:val="Lenetele"/>
              <w:spacing w:before="120" w:after="120" w:line="240" w:lineRule="auto"/>
              <w:rPr>
                <w:rFonts w:ascii="Times New Roman" w:hAnsi="Times New Roman"/>
                <w:sz w:val="24"/>
                <w:szCs w:val="24"/>
              </w:rPr>
            </w:pPr>
            <w:r w:rsidRPr="008347A2">
              <w:rPr>
                <w:rFonts w:ascii="Times New Roman" w:hAnsi="Times New Roman"/>
                <w:sz w:val="24"/>
                <w:szCs w:val="24"/>
              </w:rPr>
              <w:t>Vidutinis</w:t>
            </w:r>
          </w:p>
        </w:tc>
        <w:tc>
          <w:tcPr>
            <w:tcW w:w="7939" w:type="dxa"/>
          </w:tcPr>
          <w:p w14:paraId="6F94886F" w14:textId="76F49AA5" w:rsidR="008347A2" w:rsidRPr="008347A2" w:rsidRDefault="008347A2" w:rsidP="008B0BE4">
            <w:pPr>
              <w:suppressAutoHyphens/>
              <w:spacing w:before="120" w:after="120" w:line="240" w:lineRule="auto"/>
              <w:rPr>
                <w:rFonts w:ascii="Times New Roman" w:hAnsi="Times New Roman" w:cs="Times New Roman"/>
                <w:sz w:val="24"/>
                <w:szCs w:val="24"/>
                <w:lang w:val="lt-LT" w:eastAsia="lt-LT"/>
              </w:rPr>
            </w:pPr>
            <w:r w:rsidRPr="008347A2">
              <w:rPr>
                <w:rFonts w:ascii="Times New Roman" w:hAnsi="Times New Roman" w:cs="Times New Roman"/>
                <w:sz w:val="24"/>
                <w:szCs w:val="24"/>
                <w:lang w:val="lt-LT" w:eastAsia="lt-LT"/>
              </w:rPr>
              <w:t xml:space="preserve">Asmenys, atsakingi už </w:t>
            </w:r>
            <w:r>
              <w:rPr>
                <w:rFonts w:ascii="Times New Roman" w:hAnsi="Times New Roman" w:cs="Times New Roman"/>
                <w:sz w:val="24"/>
                <w:szCs w:val="24"/>
                <w:lang w:val="lt-LT" w:eastAsia="lt-LT"/>
              </w:rPr>
              <w:t xml:space="preserve">Anykščių miesto </w:t>
            </w:r>
            <w:r w:rsidRPr="008347A2">
              <w:rPr>
                <w:rFonts w:ascii="Times New Roman" w:hAnsi="Times New Roman" w:cs="Times New Roman"/>
                <w:lang w:val="lt-LT"/>
              </w:rPr>
              <w:t>2016 – 2020 m</w:t>
            </w:r>
            <w:r>
              <w:rPr>
                <w:rFonts w:ascii="Times New Roman" w:hAnsi="Times New Roman" w:cs="Times New Roman"/>
                <w:sz w:val="24"/>
                <w:szCs w:val="24"/>
                <w:lang w:val="lt-LT" w:eastAsia="lt-LT"/>
              </w:rPr>
              <w:t xml:space="preserve"> vietos plėtros </w:t>
            </w:r>
            <w:r w:rsidRPr="008347A2">
              <w:rPr>
                <w:rFonts w:ascii="Times New Roman" w:hAnsi="Times New Roman" w:cs="Times New Roman"/>
                <w:sz w:val="24"/>
                <w:szCs w:val="24"/>
                <w:lang w:val="lt-LT" w:eastAsia="lt-LT"/>
              </w:rPr>
              <w:t>strategijos įgyvendinimą, taip pat įgyvendinimo s</w:t>
            </w:r>
            <w:r>
              <w:rPr>
                <w:rFonts w:ascii="Times New Roman" w:hAnsi="Times New Roman" w:cs="Times New Roman"/>
                <w:sz w:val="24"/>
                <w:szCs w:val="24"/>
                <w:lang w:val="lt-LT" w:eastAsia="lt-LT"/>
              </w:rPr>
              <w:t xml:space="preserve">tebėseną, kontrolę ir priežiūrą - </w:t>
            </w:r>
            <w:r w:rsidRPr="008347A2">
              <w:rPr>
                <w:rFonts w:ascii="Times New Roman" w:hAnsi="Times New Roman" w:cs="Times New Roman"/>
                <w:sz w:val="24"/>
                <w:szCs w:val="24"/>
                <w:lang w:val="lt-LT"/>
              </w:rPr>
              <w:t xml:space="preserve">Anykščių miesto VVG nariai, valdyba, darbuotojai ir kiti Anykščių miesto VVG paskirti asmenys, </w:t>
            </w:r>
            <w:r w:rsidRPr="008347A2">
              <w:rPr>
                <w:rFonts w:ascii="Times New Roman" w:hAnsi="Times New Roman" w:cs="Times New Roman"/>
                <w:sz w:val="24"/>
                <w:szCs w:val="24"/>
                <w:lang w:val="lt-LT" w:eastAsia="lt-LT"/>
              </w:rPr>
              <w:t>įskaitant paslaugų teikėjus, subtiekėjus.</w:t>
            </w:r>
          </w:p>
        </w:tc>
      </w:tr>
    </w:tbl>
    <w:p w14:paraId="3B9CE7AA" w14:textId="0280D2D8" w:rsidR="00FE0A58" w:rsidRPr="008347A2" w:rsidRDefault="00FE0A58" w:rsidP="008B0BE4">
      <w:pPr>
        <w:pStyle w:val="Default"/>
        <w:spacing w:before="120" w:after="120"/>
        <w:jc w:val="right"/>
        <w:rPr>
          <w:color w:val="auto"/>
        </w:rPr>
      </w:pPr>
    </w:p>
    <w:p w14:paraId="23256876" w14:textId="77777777" w:rsidR="00FE0A58" w:rsidRPr="008347A2" w:rsidRDefault="00FE0A58">
      <w:pPr>
        <w:rPr>
          <w:rFonts w:ascii="Times New Roman" w:hAnsi="Times New Roman" w:cs="Times New Roman"/>
          <w:sz w:val="24"/>
          <w:szCs w:val="24"/>
          <w:lang w:val="lt-LT"/>
        </w:rPr>
      </w:pPr>
      <w:r w:rsidRPr="008347A2">
        <w:rPr>
          <w:rFonts w:ascii="Times New Roman" w:hAnsi="Times New Roman" w:cs="Times New Roman"/>
          <w:lang w:val="lt-LT"/>
        </w:rPr>
        <w:br w:type="page"/>
      </w:r>
    </w:p>
    <w:p w14:paraId="4F6E57C2" w14:textId="0205F0BA" w:rsidR="00FE0A58" w:rsidRPr="008659C3" w:rsidRDefault="00FC7261" w:rsidP="000A69D5">
      <w:pPr>
        <w:pStyle w:val="Heading1"/>
        <w:numPr>
          <w:ilvl w:val="0"/>
          <w:numId w:val="0"/>
        </w:numPr>
        <w:ind w:left="720"/>
      </w:pPr>
      <w:bookmarkStart w:id="1" w:name="_Toc484547339"/>
      <w:r w:rsidRPr="008659C3">
        <w:lastRenderedPageBreak/>
        <w:t>TURINYS</w:t>
      </w:r>
      <w:bookmarkEnd w:id="1"/>
    </w:p>
    <w:p w14:paraId="68866657" w14:textId="77777777" w:rsidR="001402BF" w:rsidRDefault="00FE0A58">
      <w:pPr>
        <w:pStyle w:val="TOC1"/>
        <w:rPr>
          <w:rFonts w:asciiTheme="minorHAnsi" w:eastAsiaTheme="minorEastAsia" w:hAnsiTheme="minorHAnsi" w:cstheme="minorBidi"/>
          <w:noProof/>
          <w:sz w:val="22"/>
          <w:lang w:eastAsia="lt-LT"/>
        </w:rPr>
      </w:pPr>
      <w:r w:rsidRPr="008347A2">
        <w:rPr>
          <w:sz w:val="20"/>
          <w:szCs w:val="20"/>
        </w:rPr>
        <w:fldChar w:fldCharType="begin"/>
      </w:r>
      <w:r w:rsidRPr="008347A2">
        <w:rPr>
          <w:sz w:val="20"/>
          <w:szCs w:val="20"/>
        </w:rPr>
        <w:instrText xml:space="preserve"> TOC \o "1-3" \h \z \u </w:instrText>
      </w:r>
      <w:r w:rsidRPr="008347A2">
        <w:rPr>
          <w:sz w:val="20"/>
          <w:szCs w:val="20"/>
        </w:rPr>
        <w:fldChar w:fldCharType="separate"/>
      </w:r>
      <w:hyperlink w:anchor="_Toc484547339" w:history="1">
        <w:r w:rsidR="001402BF" w:rsidRPr="003543E9">
          <w:rPr>
            <w:rStyle w:val="Hyperlink"/>
            <w:noProof/>
            <w:lang w:bidi="en-US"/>
          </w:rPr>
          <w:t>TURINYS</w:t>
        </w:r>
        <w:r w:rsidR="001402BF">
          <w:rPr>
            <w:noProof/>
            <w:webHidden/>
          </w:rPr>
          <w:tab/>
        </w:r>
        <w:r w:rsidR="001402BF">
          <w:rPr>
            <w:noProof/>
            <w:webHidden/>
          </w:rPr>
          <w:fldChar w:fldCharType="begin"/>
        </w:r>
        <w:r w:rsidR="001402BF">
          <w:rPr>
            <w:noProof/>
            <w:webHidden/>
          </w:rPr>
          <w:instrText xml:space="preserve"> PAGEREF _Toc484547339 \h </w:instrText>
        </w:r>
        <w:r w:rsidR="001402BF">
          <w:rPr>
            <w:noProof/>
            <w:webHidden/>
          </w:rPr>
        </w:r>
        <w:r w:rsidR="001402BF">
          <w:rPr>
            <w:noProof/>
            <w:webHidden/>
          </w:rPr>
          <w:fldChar w:fldCharType="separate"/>
        </w:r>
        <w:r w:rsidR="007D6C65">
          <w:rPr>
            <w:noProof/>
            <w:webHidden/>
          </w:rPr>
          <w:t>3</w:t>
        </w:r>
        <w:r w:rsidR="001402BF">
          <w:rPr>
            <w:noProof/>
            <w:webHidden/>
          </w:rPr>
          <w:fldChar w:fldCharType="end"/>
        </w:r>
      </w:hyperlink>
    </w:p>
    <w:p w14:paraId="07110E25" w14:textId="77777777" w:rsidR="001402BF" w:rsidRDefault="00207520">
      <w:pPr>
        <w:pStyle w:val="TOC1"/>
        <w:rPr>
          <w:rFonts w:asciiTheme="minorHAnsi" w:eastAsiaTheme="minorEastAsia" w:hAnsiTheme="minorHAnsi" w:cstheme="minorBidi"/>
          <w:noProof/>
          <w:sz w:val="22"/>
          <w:lang w:eastAsia="lt-LT"/>
        </w:rPr>
      </w:pPr>
      <w:hyperlink w:anchor="_Toc484547340" w:history="1">
        <w:r w:rsidR="001402BF" w:rsidRPr="003543E9">
          <w:rPr>
            <w:rStyle w:val="Hyperlink"/>
            <w:noProof/>
            <w:lang w:bidi="en-US"/>
          </w:rPr>
          <w:t>Sąvokos</w:t>
        </w:r>
        <w:r w:rsidR="001402BF">
          <w:rPr>
            <w:noProof/>
            <w:webHidden/>
          </w:rPr>
          <w:tab/>
        </w:r>
        <w:r w:rsidR="001402BF">
          <w:rPr>
            <w:noProof/>
            <w:webHidden/>
          </w:rPr>
          <w:fldChar w:fldCharType="begin"/>
        </w:r>
        <w:r w:rsidR="001402BF">
          <w:rPr>
            <w:noProof/>
            <w:webHidden/>
          </w:rPr>
          <w:instrText xml:space="preserve"> PAGEREF _Toc484547340 \h </w:instrText>
        </w:r>
        <w:r w:rsidR="001402BF">
          <w:rPr>
            <w:noProof/>
            <w:webHidden/>
          </w:rPr>
        </w:r>
        <w:r w:rsidR="001402BF">
          <w:rPr>
            <w:noProof/>
            <w:webHidden/>
          </w:rPr>
          <w:fldChar w:fldCharType="separate"/>
        </w:r>
        <w:r w:rsidR="007D6C65">
          <w:rPr>
            <w:noProof/>
            <w:webHidden/>
          </w:rPr>
          <w:t>4</w:t>
        </w:r>
        <w:r w:rsidR="001402BF">
          <w:rPr>
            <w:noProof/>
            <w:webHidden/>
          </w:rPr>
          <w:fldChar w:fldCharType="end"/>
        </w:r>
      </w:hyperlink>
    </w:p>
    <w:p w14:paraId="3458628E" w14:textId="77777777" w:rsidR="001402BF" w:rsidRDefault="00207520">
      <w:pPr>
        <w:pStyle w:val="TOC1"/>
        <w:rPr>
          <w:rFonts w:asciiTheme="minorHAnsi" w:eastAsiaTheme="minorEastAsia" w:hAnsiTheme="minorHAnsi" w:cstheme="minorBidi"/>
          <w:noProof/>
          <w:sz w:val="22"/>
          <w:lang w:eastAsia="lt-LT"/>
        </w:rPr>
      </w:pPr>
      <w:hyperlink w:anchor="_Toc484547341" w:history="1">
        <w:r w:rsidR="001402BF" w:rsidRPr="003543E9">
          <w:rPr>
            <w:rStyle w:val="Hyperlink"/>
            <w:noProof/>
            <w:lang w:bidi="en-US"/>
          </w:rPr>
          <w:t>I.</w:t>
        </w:r>
        <w:r w:rsidR="001402BF">
          <w:rPr>
            <w:rFonts w:asciiTheme="minorHAnsi" w:eastAsiaTheme="minorEastAsia" w:hAnsiTheme="minorHAnsi" w:cstheme="minorBidi"/>
            <w:noProof/>
            <w:sz w:val="22"/>
            <w:lang w:eastAsia="lt-LT"/>
          </w:rPr>
          <w:tab/>
        </w:r>
        <w:r w:rsidR="001402BF" w:rsidRPr="003543E9">
          <w:rPr>
            <w:rStyle w:val="Hyperlink"/>
            <w:noProof/>
            <w:lang w:bidi="en-US"/>
          </w:rPr>
          <w:t>Skyrius. Bendrosios nuostatos</w:t>
        </w:r>
        <w:r w:rsidR="001402BF">
          <w:rPr>
            <w:noProof/>
            <w:webHidden/>
          </w:rPr>
          <w:tab/>
        </w:r>
        <w:r w:rsidR="001402BF">
          <w:rPr>
            <w:noProof/>
            <w:webHidden/>
          </w:rPr>
          <w:fldChar w:fldCharType="begin"/>
        </w:r>
        <w:r w:rsidR="001402BF">
          <w:rPr>
            <w:noProof/>
            <w:webHidden/>
          </w:rPr>
          <w:instrText xml:space="preserve"> PAGEREF _Toc484547341 \h </w:instrText>
        </w:r>
        <w:r w:rsidR="001402BF">
          <w:rPr>
            <w:noProof/>
            <w:webHidden/>
          </w:rPr>
        </w:r>
        <w:r w:rsidR="001402BF">
          <w:rPr>
            <w:noProof/>
            <w:webHidden/>
          </w:rPr>
          <w:fldChar w:fldCharType="separate"/>
        </w:r>
        <w:r w:rsidR="007D6C65">
          <w:rPr>
            <w:noProof/>
            <w:webHidden/>
          </w:rPr>
          <w:t>6</w:t>
        </w:r>
        <w:r w:rsidR="001402BF">
          <w:rPr>
            <w:noProof/>
            <w:webHidden/>
          </w:rPr>
          <w:fldChar w:fldCharType="end"/>
        </w:r>
      </w:hyperlink>
    </w:p>
    <w:p w14:paraId="3DC9B582" w14:textId="77777777" w:rsidR="001402BF" w:rsidRDefault="00207520">
      <w:pPr>
        <w:pStyle w:val="TOC1"/>
        <w:rPr>
          <w:rFonts w:asciiTheme="minorHAnsi" w:eastAsiaTheme="minorEastAsia" w:hAnsiTheme="minorHAnsi" w:cstheme="minorBidi"/>
          <w:noProof/>
          <w:sz w:val="22"/>
          <w:lang w:eastAsia="lt-LT"/>
        </w:rPr>
      </w:pPr>
      <w:hyperlink w:anchor="_Toc484547342" w:history="1">
        <w:r w:rsidR="001402BF" w:rsidRPr="003543E9">
          <w:rPr>
            <w:rStyle w:val="Hyperlink"/>
            <w:noProof/>
            <w:lang w:bidi="en-US"/>
          </w:rPr>
          <w:t>II.</w:t>
        </w:r>
        <w:r w:rsidR="001402BF">
          <w:rPr>
            <w:rFonts w:asciiTheme="minorHAnsi" w:eastAsiaTheme="minorEastAsia" w:hAnsiTheme="minorHAnsi" w:cstheme="minorBidi"/>
            <w:noProof/>
            <w:sz w:val="22"/>
            <w:lang w:eastAsia="lt-LT"/>
          </w:rPr>
          <w:tab/>
        </w:r>
        <w:r w:rsidR="001402BF" w:rsidRPr="003543E9">
          <w:rPr>
            <w:rStyle w:val="Hyperlink"/>
            <w:noProof/>
            <w:lang w:bidi="en-US"/>
          </w:rPr>
          <w:t>Skyrius. Atrankos kriterijai ir procedūros, projektinių pasiūlymų sąrašų sudarymas</w:t>
        </w:r>
        <w:r w:rsidR="001402BF">
          <w:rPr>
            <w:noProof/>
            <w:webHidden/>
          </w:rPr>
          <w:tab/>
        </w:r>
        <w:r w:rsidR="001402BF">
          <w:rPr>
            <w:noProof/>
            <w:webHidden/>
          </w:rPr>
          <w:fldChar w:fldCharType="begin"/>
        </w:r>
        <w:r w:rsidR="001402BF">
          <w:rPr>
            <w:noProof/>
            <w:webHidden/>
          </w:rPr>
          <w:instrText xml:space="preserve"> PAGEREF _Toc484547342 \h </w:instrText>
        </w:r>
        <w:r w:rsidR="001402BF">
          <w:rPr>
            <w:noProof/>
            <w:webHidden/>
          </w:rPr>
        </w:r>
        <w:r w:rsidR="001402BF">
          <w:rPr>
            <w:noProof/>
            <w:webHidden/>
          </w:rPr>
          <w:fldChar w:fldCharType="separate"/>
        </w:r>
        <w:r w:rsidR="007D6C65">
          <w:rPr>
            <w:noProof/>
            <w:webHidden/>
          </w:rPr>
          <w:t>9</w:t>
        </w:r>
        <w:r w:rsidR="001402BF">
          <w:rPr>
            <w:noProof/>
            <w:webHidden/>
          </w:rPr>
          <w:fldChar w:fldCharType="end"/>
        </w:r>
      </w:hyperlink>
    </w:p>
    <w:p w14:paraId="7E45007C" w14:textId="77777777" w:rsidR="001402BF" w:rsidRDefault="00207520">
      <w:pPr>
        <w:pStyle w:val="TOC2"/>
        <w:tabs>
          <w:tab w:val="right" w:leader="dot" w:pos="9749"/>
        </w:tabs>
        <w:rPr>
          <w:rFonts w:asciiTheme="minorHAnsi" w:eastAsiaTheme="minorEastAsia" w:hAnsiTheme="minorHAnsi" w:cstheme="minorBidi"/>
          <w:noProof/>
          <w:lang w:eastAsia="lt-LT"/>
        </w:rPr>
      </w:pPr>
      <w:hyperlink w:anchor="_Toc484547343" w:history="1">
        <w:r w:rsidR="001402BF" w:rsidRPr="003543E9">
          <w:rPr>
            <w:rStyle w:val="Hyperlink"/>
            <w:rFonts w:ascii="Times New Roman" w:hAnsi="Times New Roman"/>
            <w:noProof/>
          </w:rPr>
          <w:t>I. Skirsnis. Projektinių pasiūlymų atrankos kriterijų nustatymas administracinės atitikties, naudos ir kokybės kriterijai</w:t>
        </w:r>
        <w:r w:rsidR="001402BF">
          <w:rPr>
            <w:noProof/>
            <w:webHidden/>
          </w:rPr>
          <w:tab/>
        </w:r>
        <w:r w:rsidR="001402BF">
          <w:rPr>
            <w:noProof/>
            <w:webHidden/>
          </w:rPr>
          <w:fldChar w:fldCharType="begin"/>
        </w:r>
        <w:r w:rsidR="001402BF">
          <w:rPr>
            <w:noProof/>
            <w:webHidden/>
          </w:rPr>
          <w:instrText xml:space="preserve"> PAGEREF _Toc484547343 \h </w:instrText>
        </w:r>
        <w:r w:rsidR="001402BF">
          <w:rPr>
            <w:noProof/>
            <w:webHidden/>
          </w:rPr>
        </w:r>
        <w:r w:rsidR="001402BF">
          <w:rPr>
            <w:noProof/>
            <w:webHidden/>
          </w:rPr>
          <w:fldChar w:fldCharType="separate"/>
        </w:r>
        <w:r w:rsidR="007D6C65">
          <w:rPr>
            <w:noProof/>
            <w:webHidden/>
          </w:rPr>
          <w:t>9</w:t>
        </w:r>
        <w:r w:rsidR="001402BF">
          <w:rPr>
            <w:noProof/>
            <w:webHidden/>
          </w:rPr>
          <w:fldChar w:fldCharType="end"/>
        </w:r>
      </w:hyperlink>
    </w:p>
    <w:p w14:paraId="38308118" w14:textId="77777777" w:rsidR="001402BF" w:rsidRDefault="00207520">
      <w:pPr>
        <w:pStyle w:val="TOC2"/>
        <w:tabs>
          <w:tab w:val="right" w:leader="dot" w:pos="9749"/>
        </w:tabs>
        <w:rPr>
          <w:rFonts w:asciiTheme="minorHAnsi" w:eastAsiaTheme="minorEastAsia" w:hAnsiTheme="minorHAnsi" w:cstheme="minorBidi"/>
          <w:noProof/>
          <w:lang w:eastAsia="lt-LT"/>
        </w:rPr>
      </w:pPr>
      <w:hyperlink w:anchor="_Toc484547344" w:history="1">
        <w:r w:rsidR="001402BF" w:rsidRPr="003543E9">
          <w:rPr>
            <w:rStyle w:val="Hyperlink"/>
            <w:rFonts w:ascii="Times New Roman" w:hAnsi="Times New Roman"/>
            <w:noProof/>
          </w:rPr>
          <w:t>II Skirsnis. Kvietimas teikti projektinius pasiūlymus atrankai</w:t>
        </w:r>
        <w:r w:rsidR="001402BF">
          <w:rPr>
            <w:noProof/>
            <w:webHidden/>
          </w:rPr>
          <w:tab/>
        </w:r>
        <w:r w:rsidR="001402BF">
          <w:rPr>
            <w:noProof/>
            <w:webHidden/>
          </w:rPr>
          <w:fldChar w:fldCharType="begin"/>
        </w:r>
        <w:r w:rsidR="001402BF">
          <w:rPr>
            <w:noProof/>
            <w:webHidden/>
          </w:rPr>
          <w:instrText xml:space="preserve"> PAGEREF _Toc484547344 \h </w:instrText>
        </w:r>
        <w:r w:rsidR="001402BF">
          <w:rPr>
            <w:noProof/>
            <w:webHidden/>
          </w:rPr>
        </w:r>
        <w:r w:rsidR="001402BF">
          <w:rPr>
            <w:noProof/>
            <w:webHidden/>
          </w:rPr>
          <w:fldChar w:fldCharType="separate"/>
        </w:r>
        <w:r w:rsidR="007D6C65">
          <w:rPr>
            <w:noProof/>
            <w:webHidden/>
          </w:rPr>
          <w:t>9</w:t>
        </w:r>
        <w:r w:rsidR="001402BF">
          <w:rPr>
            <w:noProof/>
            <w:webHidden/>
          </w:rPr>
          <w:fldChar w:fldCharType="end"/>
        </w:r>
      </w:hyperlink>
    </w:p>
    <w:p w14:paraId="37D54CDC" w14:textId="77777777" w:rsidR="001402BF" w:rsidRDefault="00207520">
      <w:pPr>
        <w:pStyle w:val="TOC2"/>
        <w:tabs>
          <w:tab w:val="right" w:leader="dot" w:pos="9749"/>
        </w:tabs>
        <w:rPr>
          <w:rFonts w:asciiTheme="minorHAnsi" w:eastAsiaTheme="minorEastAsia" w:hAnsiTheme="minorHAnsi" w:cstheme="minorBidi"/>
          <w:noProof/>
          <w:lang w:eastAsia="lt-LT"/>
        </w:rPr>
      </w:pPr>
      <w:hyperlink w:anchor="_Toc484547345" w:history="1">
        <w:r w:rsidR="001402BF" w:rsidRPr="003543E9">
          <w:rPr>
            <w:rStyle w:val="Hyperlink"/>
            <w:rFonts w:ascii="Times New Roman" w:hAnsi="Times New Roman"/>
            <w:noProof/>
          </w:rPr>
          <w:t>III Skirsnis. Projektinių pasiūlymų vertinimas</w:t>
        </w:r>
        <w:r w:rsidR="001402BF">
          <w:rPr>
            <w:noProof/>
            <w:webHidden/>
          </w:rPr>
          <w:tab/>
        </w:r>
        <w:r w:rsidR="001402BF">
          <w:rPr>
            <w:noProof/>
            <w:webHidden/>
          </w:rPr>
          <w:fldChar w:fldCharType="begin"/>
        </w:r>
        <w:r w:rsidR="001402BF">
          <w:rPr>
            <w:noProof/>
            <w:webHidden/>
          </w:rPr>
          <w:instrText xml:space="preserve"> PAGEREF _Toc484547345 \h </w:instrText>
        </w:r>
        <w:r w:rsidR="001402BF">
          <w:rPr>
            <w:noProof/>
            <w:webHidden/>
          </w:rPr>
        </w:r>
        <w:r w:rsidR="001402BF">
          <w:rPr>
            <w:noProof/>
            <w:webHidden/>
          </w:rPr>
          <w:fldChar w:fldCharType="separate"/>
        </w:r>
        <w:r w:rsidR="007D6C65">
          <w:rPr>
            <w:noProof/>
            <w:webHidden/>
          </w:rPr>
          <w:t>10</w:t>
        </w:r>
        <w:r w:rsidR="001402BF">
          <w:rPr>
            <w:noProof/>
            <w:webHidden/>
          </w:rPr>
          <w:fldChar w:fldCharType="end"/>
        </w:r>
      </w:hyperlink>
    </w:p>
    <w:p w14:paraId="0CF27748" w14:textId="77777777" w:rsidR="001402BF" w:rsidRDefault="00207520">
      <w:pPr>
        <w:pStyle w:val="TOC2"/>
        <w:tabs>
          <w:tab w:val="right" w:leader="dot" w:pos="9749"/>
        </w:tabs>
        <w:rPr>
          <w:rFonts w:asciiTheme="minorHAnsi" w:eastAsiaTheme="minorEastAsia" w:hAnsiTheme="minorHAnsi" w:cstheme="minorBidi"/>
          <w:noProof/>
          <w:lang w:eastAsia="lt-LT"/>
        </w:rPr>
      </w:pPr>
      <w:hyperlink w:anchor="_Toc484547346" w:history="1">
        <w:r w:rsidR="001402BF" w:rsidRPr="003543E9">
          <w:rPr>
            <w:rStyle w:val="Hyperlink"/>
            <w:rFonts w:ascii="Times New Roman" w:hAnsi="Times New Roman"/>
            <w:noProof/>
          </w:rPr>
          <w:t>IV Skirsnis. Anykščių miesto VVG vietos plėtros projektų sąrašų sudarymas</w:t>
        </w:r>
        <w:r w:rsidR="001402BF">
          <w:rPr>
            <w:noProof/>
            <w:webHidden/>
          </w:rPr>
          <w:tab/>
        </w:r>
        <w:r w:rsidR="001402BF">
          <w:rPr>
            <w:noProof/>
            <w:webHidden/>
          </w:rPr>
          <w:fldChar w:fldCharType="begin"/>
        </w:r>
        <w:r w:rsidR="001402BF">
          <w:rPr>
            <w:noProof/>
            <w:webHidden/>
          </w:rPr>
          <w:instrText xml:space="preserve"> PAGEREF _Toc484547346 \h </w:instrText>
        </w:r>
        <w:r w:rsidR="001402BF">
          <w:rPr>
            <w:noProof/>
            <w:webHidden/>
          </w:rPr>
        </w:r>
        <w:r w:rsidR="001402BF">
          <w:rPr>
            <w:noProof/>
            <w:webHidden/>
          </w:rPr>
          <w:fldChar w:fldCharType="separate"/>
        </w:r>
        <w:r w:rsidR="007D6C65">
          <w:rPr>
            <w:noProof/>
            <w:webHidden/>
          </w:rPr>
          <w:t>12</w:t>
        </w:r>
        <w:r w:rsidR="001402BF">
          <w:rPr>
            <w:noProof/>
            <w:webHidden/>
          </w:rPr>
          <w:fldChar w:fldCharType="end"/>
        </w:r>
      </w:hyperlink>
    </w:p>
    <w:p w14:paraId="4CD6B316" w14:textId="77777777" w:rsidR="001402BF" w:rsidRDefault="00207520">
      <w:pPr>
        <w:pStyle w:val="TOC2"/>
        <w:tabs>
          <w:tab w:val="right" w:leader="dot" w:pos="9749"/>
        </w:tabs>
        <w:rPr>
          <w:rFonts w:asciiTheme="minorHAnsi" w:eastAsiaTheme="minorEastAsia" w:hAnsiTheme="minorHAnsi" w:cstheme="minorBidi"/>
          <w:noProof/>
          <w:lang w:eastAsia="lt-LT"/>
        </w:rPr>
      </w:pPr>
      <w:hyperlink w:anchor="_Toc484547347" w:history="1">
        <w:r w:rsidR="001402BF" w:rsidRPr="003543E9">
          <w:rPr>
            <w:rStyle w:val="Hyperlink"/>
            <w:rFonts w:ascii="Times New Roman" w:hAnsi="Times New Roman"/>
            <w:noProof/>
          </w:rPr>
          <w:t>V. Skirsnis. Ministerijai siūlomų finansuoti vietos plėtros projektų sąrašų sudarymas ir tvirtinimas</w:t>
        </w:r>
        <w:r w:rsidR="001402BF">
          <w:rPr>
            <w:noProof/>
            <w:webHidden/>
          </w:rPr>
          <w:tab/>
        </w:r>
        <w:r w:rsidR="001402BF">
          <w:rPr>
            <w:noProof/>
            <w:webHidden/>
          </w:rPr>
          <w:fldChar w:fldCharType="begin"/>
        </w:r>
        <w:r w:rsidR="001402BF">
          <w:rPr>
            <w:noProof/>
            <w:webHidden/>
          </w:rPr>
          <w:instrText xml:space="preserve"> PAGEREF _Toc484547347 \h </w:instrText>
        </w:r>
        <w:r w:rsidR="001402BF">
          <w:rPr>
            <w:noProof/>
            <w:webHidden/>
          </w:rPr>
        </w:r>
        <w:r w:rsidR="001402BF">
          <w:rPr>
            <w:noProof/>
            <w:webHidden/>
          </w:rPr>
          <w:fldChar w:fldCharType="separate"/>
        </w:r>
        <w:r w:rsidR="007D6C65">
          <w:rPr>
            <w:noProof/>
            <w:webHidden/>
          </w:rPr>
          <w:t>13</w:t>
        </w:r>
        <w:r w:rsidR="001402BF">
          <w:rPr>
            <w:noProof/>
            <w:webHidden/>
          </w:rPr>
          <w:fldChar w:fldCharType="end"/>
        </w:r>
      </w:hyperlink>
    </w:p>
    <w:p w14:paraId="63A13A17" w14:textId="77777777" w:rsidR="001402BF" w:rsidRDefault="00207520">
      <w:pPr>
        <w:pStyle w:val="TOC2"/>
        <w:tabs>
          <w:tab w:val="right" w:leader="dot" w:pos="9749"/>
        </w:tabs>
        <w:rPr>
          <w:rFonts w:asciiTheme="minorHAnsi" w:eastAsiaTheme="minorEastAsia" w:hAnsiTheme="minorHAnsi" w:cstheme="minorBidi"/>
          <w:noProof/>
          <w:lang w:eastAsia="lt-LT"/>
        </w:rPr>
      </w:pPr>
      <w:hyperlink w:anchor="_Toc484547348" w:history="1">
        <w:r w:rsidR="001402BF" w:rsidRPr="003543E9">
          <w:rPr>
            <w:rStyle w:val="Hyperlink"/>
            <w:rFonts w:ascii="Times New Roman" w:hAnsi="Times New Roman"/>
            <w:noProof/>
          </w:rPr>
          <w:t>VI. Skirsnis. Ministerijai siūlomų finansuoti vietos plėtros projektų sąrašų keitimas</w:t>
        </w:r>
        <w:r w:rsidR="001402BF">
          <w:rPr>
            <w:noProof/>
            <w:webHidden/>
          </w:rPr>
          <w:tab/>
        </w:r>
        <w:r w:rsidR="001402BF">
          <w:rPr>
            <w:noProof/>
            <w:webHidden/>
          </w:rPr>
          <w:fldChar w:fldCharType="begin"/>
        </w:r>
        <w:r w:rsidR="001402BF">
          <w:rPr>
            <w:noProof/>
            <w:webHidden/>
          </w:rPr>
          <w:instrText xml:space="preserve"> PAGEREF _Toc484547348 \h </w:instrText>
        </w:r>
        <w:r w:rsidR="001402BF">
          <w:rPr>
            <w:noProof/>
            <w:webHidden/>
          </w:rPr>
        </w:r>
        <w:r w:rsidR="001402BF">
          <w:rPr>
            <w:noProof/>
            <w:webHidden/>
          </w:rPr>
          <w:fldChar w:fldCharType="separate"/>
        </w:r>
        <w:r w:rsidR="007D6C65">
          <w:rPr>
            <w:noProof/>
            <w:webHidden/>
          </w:rPr>
          <w:t>16</w:t>
        </w:r>
        <w:r w:rsidR="001402BF">
          <w:rPr>
            <w:noProof/>
            <w:webHidden/>
          </w:rPr>
          <w:fldChar w:fldCharType="end"/>
        </w:r>
      </w:hyperlink>
    </w:p>
    <w:p w14:paraId="3B3E8229" w14:textId="77777777" w:rsidR="001402BF" w:rsidRDefault="00207520">
      <w:pPr>
        <w:pStyle w:val="TOC1"/>
        <w:rPr>
          <w:rFonts w:asciiTheme="minorHAnsi" w:eastAsiaTheme="minorEastAsia" w:hAnsiTheme="minorHAnsi" w:cstheme="minorBidi"/>
          <w:noProof/>
          <w:sz w:val="22"/>
          <w:lang w:eastAsia="lt-LT"/>
        </w:rPr>
      </w:pPr>
      <w:hyperlink w:anchor="_Toc484547349" w:history="1">
        <w:r w:rsidR="001402BF" w:rsidRPr="003543E9">
          <w:rPr>
            <w:rStyle w:val="Hyperlink"/>
            <w:noProof/>
            <w:lang w:bidi="en-US"/>
          </w:rPr>
          <w:t>III.</w:t>
        </w:r>
        <w:r w:rsidR="001402BF">
          <w:rPr>
            <w:rFonts w:asciiTheme="minorHAnsi" w:eastAsiaTheme="minorEastAsia" w:hAnsiTheme="minorHAnsi" w:cstheme="minorBidi"/>
            <w:noProof/>
            <w:sz w:val="22"/>
            <w:lang w:eastAsia="lt-LT"/>
          </w:rPr>
          <w:tab/>
        </w:r>
        <w:r w:rsidR="001402BF" w:rsidRPr="003543E9">
          <w:rPr>
            <w:rStyle w:val="Hyperlink"/>
            <w:noProof/>
            <w:lang w:bidi="en-US"/>
          </w:rPr>
          <w:t>Skyrius. Miesto vietos plėtros strategijos įgyvendinimo viešinimas, stebėsena, keitimas</w:t>
        </w:r>
        <w:r w:rsidR="001402BF">
          <w:rPr>
            <w:noProof/>
            <w:webHidden/>
          </w:rPr>
          <w:tab/>
        </w:r>
        <w:r w:rsidR="001402BF">
          <w:rPr>
            <w:noProof/>
            <w:webHidden/>
          </w:rPr>
          <w:fldChar w:fldCharType="begin"/>
        </w:r>
        <w:r w:rsidR="001402BF">
          <w:rPr>
            <w:noProof/>
            <w:webHidden/>
          </w:rPr>
          <w:instrText xml:space="preserve"> PAGEREF _Toc484547349 \h </w:instrText>
        </w:r>
        <w:r w:rsidR="001402BF">
          <w:rPr>
            <w:noProof/>
            <w:webHidden/>
          </w:rPr>
        </w:r>
        <w:r w:rsidR="001402BF">
          <w:rPr>
            <w:noProof/>
            <w:webHidden/>
          </w:rPr>
          <w:fldChar w:fldCharType="separate"/>
        </w:r>
        <w:r w:rsidR="007D6C65">
          <w:rPr>
            <w:noProof/>
            <w:webHidden/>
          </w:rPr>
          <w:t>17</w:t>
        </w:r>
        <w:r w:rsidR="001402BF">
          <w:rPr>
            <w:noProof/>
            <w:webHidden/>
          </w:rPr>
          <w:fldChar w:fldCharType="end"/>
        </w:r>
      </w:hyperlink>
    </w:p>
    <w:p w14:paraId="681437C2" w14:textId="77777777" w:rsidR="001402BF" w:rsidRDefault="00207520">
      <w:pPr>
        <w:pStyle w:val="TOC2"/>
        <w:tabs>
          <w:tab w:val="right" w:leader="dot" w:pos="9749"/>
        </w:tabs>
        <w:rPr>
          <w:rFonts w:asciiTheme="minorHAnsi" w:eastAsiaTheme="minorEastAsia" w:hAnsiTheme="minorHAnsi" w:cstheme="minorBidi"/>
          <w:noProof/>
          <w:lang w:eastAsia="lt-LT"/>
        </w:rPr>
      </w:pPr>
      <w:hyperlink w:anchor="_Toc484547350" w:history="1">
        <w:r w:rsidR="001402BF" w:rsidRPr="003543E9">
          <w:rPr>
            <w:rStyle w:val="Hyperlink"/>
            <w:rFonts w:ascii="Times New Roman" w:hAnsi="Times New Roman"/>
            <w:noProof/>
          </w:rPr>
          <w:t>I Skirsnis. Strategijos įgyvendinimo viešinimas</w:t>
        </w:r>
        <w:r w:rsidR="001402BF">
          <w:rPr>
            <w:noProof/>
            <w:webHidden/>
          </w:rPr>
          <w:tab/>
        </w:r>
        <w:r w:rsidR="001402BF">
          <w:rPr>
            <w:noProof/>
            <w:webHidden/>
          </w:rPr>
          <w:fldChar w:fldCharType="begin"/>
        </w:r>
        <w:r w:rsidR="001402BF">
          <w:rPr>
            <w:noProof/>
            <w:webHidden/>
          </w:rPr>
          <w:instrText xml:space="preserve"> PAGEREF _Toc484547350 \h </w:instrText>
        </w:r>
        <w:r w:rsidR="001402BF">
          <w:rPr>
            <w:noProof/>
            <w:webHidden/>
          </w:rPr>
        </w:r>
        <w:r w:rsidR="001402BF">
          <w:rPr>
            <w:noProof/>
            <w:webHidden/>
          </w:rPr>
          <w:fldChar w:fldCharType="separate"/>
        </w:r>
        <w:r w:rsidR="007D6C65">
          <w:rPr>
            <w:noProof/>
            <w:webHidden/>
          </w:rPr>
          <w:t>17</w:t>
        </w:r>
        <w:r w:rsidR="001402BF">
          <w:rPr>
            <w:noProof/>
            <w:webHidden/>
          </w:rPr>
          <w:fldChar w:fldCharType="end"/>
        </w:r>
      </w:hyperlink>
    </w:p>
    <w:p w14:paraId="6AABF7A6" w14:textId="77777777" w:rsidR="001402BF" w:rsidRDefault="00207520">
      <w:pPr>
        <w:pStyle w:val="TOC2"/>
        <w:tabs>
          <w:tab w:val="right" w:leader="dot" w:pos="9749"/>
        </w:tabs>
        <w:rPr>
          <w:rFonts w:asciiTheme="minorHAnsi" w:eastAsiaTheme="minorEastAsia" w:hAnsiTheme="minorHAnsi" w:cstheme="minorBidi"/>
          <w:noProof/>
          <w:lang w:eastAsia="lt-LT"/>
        </w:rPr>
      </w:pPr>
      <w:hyperlink w:anchor="_Toc484547351" w:history="1">
        <w:r w:rsidR="001402BF" w:rsidRPr="003543E9">
          <w:rPr>
            <w:rStyle w:val="Hyperlink"/>
            <w:rFonts w:ascii="Times New Roman" w:hAnsi="Times New Roman"/>
            <w:noProof/>
          </w:rPr>
          <w:t>II Skirsnis. Strategijos įgyvendinimo stebėsena</w:t>
        </w:r>
        <w:r w:rsidR="001402BF">
          <w:rPr>
            <w:noProof/>
            <w:webHidden/>
          </w:rPr>
          <w:tab/>
        </w:r>
        <w:r w:rsidR="001402BF">
          <w:rPr>
            <w:noProof/>
            <w:webHidden/>
          </w:rPr>
          <w:fldChar w:fldCharType="begin"/>
        </w:r>
        <w:r w:rsidR="001402BF">
          <w:rPr>
            <w:noProof/>
            <w:webHidden/>
          </w:rPr>
          <w:instrText xml:space="preserve"> PAGEREF _Toc484547351 \h </w:instrText>
        </w:r>
        <w:r w:rsidR="001402BF">
          <w:rPr>
            <w:noProof/>
            <w:webHidden/>
          </w:rPr>
        </w:r>
        <w:r w:rsidR="001402BF">
          <w:rPr>
            <w:noProof/>
            <w:webHidden/>
          </w:rPr>
          <w:fldChar w:fldCharType="separate"/>
        </w:r>
        <w:r w:rsidR="007D6C65">
          <w:rPr>
            <w:noProof/>
            <w:webHidden/>
          </w:rPr>
          <w:t>19</w:t>
        </w:r>
        <w:r w:rsidR="001402BF">
          <w:rPr>
            <w:noProof/>
            <w:webHidden/>
          </w:rPr>
          <w:fldChar w:fldCharType="end"/>
        </w:r>
      </w:hyperlink>
    </w:p>
    <w:p w14:paraId="624883E7" w14:textId="77777777" w:rsidR="001402BF" w:rsidRDefault="00207520">
      <w:pPr>
        <w:pStyle w:val="TOC2"/>
        <w:tabs>
          <w:tab w:val="right" w:leader="dot" w:pos="9749"/>
        </w:tabs>
        <w:rPr>
          <w:rFonts w:asciiTheme="minorHAnsi" w:eastAsiaTheme="minorEastAsia" w:hAnsiTheme="minorHAnsi" w:cstheme="minorBidi"/>
          <w:noProof/>
          <w:lang w:eastAsia="lt-LT"/>
        </w:rPr>
      </w:pPr>
      <w:hyperlink w:anchor="_Toc484547352" w:history="1">
        <w:r w:rsidR="001402BF" w:rsidRPr="003543E9">
          <w:rPr>
            <w:rStyle w:val="Hyperlink"/>
            <w:rFonts w:ascii="Times New Roman" w:hAnsi="Times New Roman"/>
            <w:noProof/>
          </w:rPr>
          <w:t>III Skirsnis. Strategijos keitimas</w:t>
        </w:r>
        <w:r w:rsidR="001402BF">
          <w:rPr>
            <w:noProof/>
            <w:webHidden/>
          </w:rPr>
          <w:tab/>
        </w:r>
        <w:r w:rsidR="001402BF">
          <w:rPr>
            <w:noProof/>
            <w:webHidden/>
          </w:rPr>
          <w:fldChar w:fldCharType="begin"/>
        </w:r>
        <w:r w:rsidR="001402BF">
          <w:rPr>
            <w:noProof/>
            <w:webHidden/>
          </w:rPr>
          <w:instrText xml:space="preserve"> PAGEREF _Toc484547352 \h </w:instrText>
        </w:r>
        <w:r w:rsidR="001402BF">
          <w:rPr>
            <w:noProof/>
            <w:webHidden/>
          </w:rPr>
        </w:r>
        <w:r w:rsidR="001402BF">
          <w:rPr>
            <w:noProof/>
            <w:webHidden/>
          </w:rPr>
          <w:fldChar w:fldCharType="separate"/>
        </w:r>
        <w:r w:rsidR="007D6C65">
          <w:rPr>
            <w:noProof/>
            <w:webHidden/>
          </w:rPr>
          <w:t>20</w:t>
        </w:r>
        <w:r w:rsidR="001402BF">
          <w:rPr>
            <w:noProof/>
            <w:webHidden/>
          </w:rPr>
          <w:fldChar w:fldCharType="end"/>
        </w:r>
      </w:hyperlink>
    </w:p>
    <w:p w14:paraId="12F924A4" w14:textId="77777777" w:rsidR="001402BF" w:rsidRDefault="00207520">
      <w:pPr>
        <w:pStyle w:val="TOC1"/>
        <w:rPr>
          <w:rFonts w:asciiTheme="minorHAnsi" w:eastAsiaTheme="minorEastAsia" w:hAnsiTheme="minorHAnsi" w:cstheme="minorBidi"/>
          <w:noProof/>
          <w:sz w:val="22"/>
          <w:lang w:eastAsia="lt-LT"/>
        </w:rPr>
      </w:pPr>
      <w:hyperlink w:anchor="_Toc484547353" w:history="1">
        <w:r w:rsidR="001402BF" w:rsidRPr="003543E9">
          <w:rPr>
            <w:rStyle w:val="Hyperlink"/>
            <w:noProof/>
            <w:lang w:bidi="en-US"/>
          </w:rPr>
          <w:t>IV.</w:t>
        </w:r>
        <w:r w:rsidR="001402BF">
          <w:rPr>
            <w:rFonts w:asciiTheme="minorHAnsi" w:eastAsiaTheme="minorEastAsia" w:hAnsiTheme="minorHAnsi" w:cstheme="minorBidi"/>
            <w:noProof/>
            <w:sz w:val="22"/>
            <w:lang w:eastAsia="lt-LT"/>
          </w:rPr>
          <w:tab/>
        </w:r>
        <w:r w:rsidR="001402BF" w:rsidRPr="003543E9">
          <w:rPr>
            <w:rStyle w:val="Hyperlink"/>
            <w:noProof/>
            <w:lang w:bidi="en-US"/>
          </w:rPr>
          <w:t>Skyrius. Strategijos įgyvendinimo planas</w:t>
        </w:r>
        <w:r w:rsidR="001402BF">
          <w:rPr>
            <w:noProof/>
            <w:webHidden/>
          </w:rPr>
          <w:tab/>
        </w:r>
        <w:r w:rsidR="001402BF">
          <w:rPr>
            <w:noProof/>
            <w:webHidden/>
          </w:rPr>
          <w:fldChar w:fldCharType="begin"/>
        </w:r>
        <w:r w:rsidR="001402BF">
          <w:rPr>
            <w:noProof/>
            <w:webHidden/>
          </w:rPr>
          <w:instrText xml:space="preserve"> PAGEREF _Toc484547353 \h </w:instrText>
        </w:r>
        <w:r w:rsidR="001402BF">
          <w:rPr>
            <w:noProof/>
            <w:webHidden/>
          </w:rPr>
        </w:r>
        <w:r w:rsidR="001402BF">
          <w:rPr>
            <w:noProof/>
            <w:webHidden/>
          </w:rPr>
          <w:fldChar w:fldCharType="separate"/>
        </w:r>
        <w:r w:rsidR="007D6C65">
          <w:rPr>
            <w:noProof/>
            <w:webHidden/>
          </w:rPr>
          <w:t>22</w:t>
        </w:r>
        <w:r w:rsidR="001402BF">
          <w:rPr>
            <w:noProof/>
            <w:webHidden/>
          </w:rPr>
          <w:fldChar w:fldCharType="end"/>
        </w:r>
      </w:hyperlink>
    </w:p>
    <w:p w14:paraId="7AFF5462" w14:textId="77777777" w:rsidR="001402BF" w:rsidRDefault="00207520">
      <w:pPr>
        <w:pStyle w:val="TOC1"/>
        <w:rPr>
          <w:rFonts w:asciiTheme="minorHAnsi" w:eastAsiaTheme="minorEastAsia" w:hAnsiTheme="minorHAnsi" w:cstheme="minorBidi"/>
          <w:noProof/>
          <w:sz w:val="22"/>
          <w:lang w:eastAsia="lt-LT"/>
        </w:rPr>
      </w:pPr>
      <w:hyperlink w:anchor="_Toc484547354" w:history="1">
        <w:r w:rsidR="001402BF" w:rsidRPr="003543E9">
          <w:rPr>
            <w:rStyle w:val="Hyperlink"/>
            <w:noProof/>
            <w:lang w:bidi="en-US"/>
          </w:rPr>
          <w:t>V.</w:t>
        </w:r>
        <w:r w:rsidR="001402BF">
          <w:rPr>
            <w:rFonts w:asciiTheme="minorHAnsi" w:eastAsiaTheme="minorEastAsia" w:hAnsiTheme="minorHAnsi" w:cstheme="minorBidi"/>
            <w:noProof/>
            <w:sz w:val="22"/>
            <w:lang w:eastAsia="lt-LT"/>
          </w:rPr>
          <w:tab/>
        </w:r>
        <w:r w:rsidR="001402BF" w:rsidRPr="003543E9">
          <w:rPr>
            <w:rStyle w:val="Hyperlink"/>
            <w:noProof/>
            <w:lang w:bidi="en-US"/>
          </w:rPr>
          <w:t>Skyrius. Baigiamosios nuostatos</w:t>
        </w:r>
        <w:r w:rsidR="001402BF">
          <w:rPr>
            <w:noProof/>
            <w:webHidden/>
          </w:rPr>
          <w:tab/>
        </w:r>
        <w:r w:rsidR="001402BF">
          <w:rPr>
            <w:noProof/>
            <w:webHidden/>
          </w:rPr>
          <w:fldChar w:fldCharType="begin"/>
        </w:r>
        <w:r w:rsidR="001402BF">
          <w:rPr>
            <w:noProof/>
            <w:webHidden/>
          </w:rPr>
          <w:instrText xml:space="preserve"> PAGEREF _Toc484547354 \h </w:instrText>
        </w:r>
        <w:r w:rsidR="001402BF">
          <w:rPr>
            <w:noProof/>
            <w:webHidden/>
          </w:rPr>
        </w:r>
        <w:r w:rsidR="001402BF">
          <w:rPr>
            <w:noProof/>
            <w:webHidden/>
          </w:rPr>
          <w:fldChar w:fldCharType="separate"/>
        </w:r>
        <w:r w:rsidR="007D6C65">
          <w:rPr>
            <w:noProof/>
            <w:webHidden/>
          </w:rPr>
          <w:t>25</w:t>
        </w:r>
        <w:r w:rsidR="001402BF">
          <w:rPr>
            <w:noProof/>
            <w:webHidden/>
          </w:rPr>
          <w:fldChar w:fldCharType="end"/>
        </w:r>
      </w:hyperlink>
    </w:p>
    <w:p w14:paraId="30552545" w14:textId="77777777" w:rsidR="001402BF" w:rsidRDefault="00207520">
      <w:pPr>
        <w:pStyle w:val="TOC1"/>
        <w:rPr>
          <w:rFonts w:asciiTheme="minorHAnsi" w:eastAsiaTheme="minorEastAsia" w:hAnsiTheme="minorHAnsi" w:cstheme="minorBidi"/>
          <w:noProof/>
          <w:sz w:val="22"/>
          <w:lang w:eastAsia="lt-LT"/>
        </w:rPr>
      </w:pPr>
      <w:hyperlink w:anchor="_Toc484547355" w:history="1">
        <w:r w:rsidR="001402BF" w:rsidRPr="003543E9">
          <w:rPr>
            <w:rStyle w:val="Hyperlink"/>
            <w:noProof/>
            <w:lang w:bidi="en-US"/>
          </w:rPr>
          <w:t>VI.</w:t>
        </w:r>
        <w:r w:rsidR="001402BF">
          <w:rPr>
            <w:rFonts w:asciiTheme="minorHAnsi" w:eastAsiaTheme="minorEastAsia" w:hAnsiTheme="minorHAnsi" w:cstheme="minorBidi"/>
            <w:noProof/>
            <w:sz w:val="22"/>
            <w:lang w:eastAsia="lt-LT"/>
          </w:rPr>
          <w:tab/>
        </w:r>
        <w:r w:rsidR="001402BF" w:rsidRPr="003543E9">
          <w:rPr>
            <w:rStyle w:val="Hyperlink"/>
            <w:noProof/>
            <w:lang w:bidi="en-US"/>
          </w:rPr>
          <w:t>Skyrius. Priedų sąrašas</w:t>
        </w:r>
        <w:r w:rsidR="001402BF">
          <w:rPr>
            <w:noProof/>
            <w:webHidden/>
          </w:rPr>
          <w:tab/>
        </w:r>
        <w:r w:rsidR="001402BF">
          <w:rPr>
            <w:noProof/>
            <w:webHidden/>
          </w:rPr>
          <w:fldChar w:fldCharType="begin"/>
        </w:r>
        <w:r w:rsidR="001402BF">
          <w:rPr>
            <w:noProof/>
            <w:webHidden/>
          </w:rPr>
          <w:instrText xml:space="preserve"> PAGEREF _Toc484547355 \h </w:instrText>
        </w:r>
        <w:r w:rsidR="001402BF">
          <w:rPr>
            <w:noProof/>
            <w:webHidden/>
          </w:rPr>
        </w:r>
        <w:r w:rsidR="001402BF">
          <w:rPr>
            <w:noProof/>
            <w:webHidden/>
          </w:rPr>
          <w:fldChar w:fldCharType="separate"/>
        </w:r>
        <w:r w:rsidR="007D6C65">
          <w:rPr>
            <w:noProof/>
            <w:webHidden/>
          </w:rPr>
          <w:t>26</w:t>
        </w:r>
        <w:r w:rsidR="001402BF">
          <w:rPr>
            <w:noProof/>
            <w:webHidden/>
          </w:rPr>
          <w:fldChar w:fldCharType="end"/>
        </w:r>
      </w:hyperlink>
    </w:p>
    <w:p w14:paraId="6D252EFD" w14:textId="53F4D809" w:rsidR="009D30DA" w:rsidRDefault="00FE0A58" w:rsidP="001B795F">
      <w:pPr>
        <w:pStyle w:val="Default"/>
        <w:spacing w:before="120" w:after="120"/>
        <w:jc w:val="right"/>
        <w:rPr>
          <w:sz w:val="20"/>
          <w:szCs w:val="20"/>
        </w:rPr>
      </w:pPr>
      <w:r w:rsidRPr="008347A2">
        <w:rPr>
          <w:sz w:val="20"/>
          <w:szCs w:val="20"/>
        </w:rPr>
        <w:fldChar w:fldCharType="end"/>
      </w:r>
    </w:p>
    <w:p w14:paraId="7310B825" w14:textId="77777777" w:rsidR="009D30DA" w:rsidRDefault="009D30DA">
      <w:pPr>
        <w:rPr>
          <w:rFonts w:ascii="Times New Roman" w:hAnsi="Times New Roman" w:cs="Times New Roman"/>
          <w:color w:val="000000"/>
          <w:sz w:val="20"/>
          <w:szCs w:val="20"/>
          <w:lang w:val="lt-LT"/>
        </w:rPr>
      </w:pPr>
      <w:r>
        <w:rPr>
          <w:sz w:val="20"/>
          <w:szCs w:val="20"/>
        </w:rPr>
        <w:br w:type="page"/>
      </w:r>
    </w:p>
    <w:p w14:paraId="63754C57" w14:textId="77777777" w:rsidR="009D30DA" w:rsidRPr="00C7386A" w:rsidRDefault="009D30DA" w:rsidP="009D30DA">
      <w:pPr>
        <w:pStyle w:val="Heading1"/>
        <w:numPr>
          <w:ilvl w:val="0"/>
          <w:numId w:val="0"/>
        </w:numPr>
        <w:ind w:left="720"/>
      </w:pPr>
      <w:bookmarkStart w:id="2" w:name="_Toc287260519"/>
      <w:bookmarkStart w:id="3" w:name="_Toc484252619"/>
      <w:bookmarkStart w:id="4" w:name="_Toc484547340"/>
      <w:r w:rsidRPr="00C7386A">
        <w:lastRenderedPageBreak/>
        <w:t>S</w:t>
      </w:r>
      <w:bookmarkEnd w:id="2"/>
      <w:r w:rsidRPr="00C7386A">
        <w:t>ąvokos</w:t>
      </w:r>
      <w:bookmarkEnd w:id="3"/>
      <w:bookmarkEnd w:id="4"/>
    </w:p>
    <w:tbl>
      <w:tblPr>
        <w:tblStyle w:val="TableGrid"/>
        <w:tblW w:w="10491" w:type="dxa"/>
        <w:tblInd w:w="-431" w:type="dxa"/>
        <w:tblLook w:val="04A0" w:firstRow="1" w:lastRow="0" w:firstColumn="1" w:lastColumn="0" w:noHBand="0" w:noVBand="1"/>
      </w:tblPr>
      <w:tblGrid>
        <w:gridCol w:w="1937"/>
        <w:gridCol w:w="8554"/>
      </w:tblGrid>
      <w:tr w:rsidR="009D30DA" w:rsidRPr="009D30DA" w14:paraId="54D8EC95" w14:textId="77777777" w:rsidTr="00EA56D3">
        <w:trPr>
          <w:trHeight w:val="491"/>
        </w:trPr>
        <w:tc>
          <w:tcPr>
            <w:tcW w:w="1937" w:type="dxa"/>
            <w:shd w:val="clear" w:color="auto" w:fill="F2F2F2" w:themeFill="background1" w:themeFillShade="F2"/>
          </w:tcPr>
          <w:p w14:paraId="623ACF2C" w14:textId="7F24A6D1" w:rsidR="009D30DA" w:rsidRPr="00D505CE" w:rsidRDefault="009D30DA" w:rsidP="008B0BE4">
            <w:pPr>
              <w:spacing w:before="120" w:after="120"/>
              <w:rPr>
                <w:rFonts w:ascii="Times New Roman" w:hAnsi="Times New Roman" w:cs="Times New Roman"/>
                <w:b/>
                <w:lang w:val="lt-LT"/>
              </w:rPr>
            </w:pPr>
            <w:r w:rsidRPr="00D505CE">
              <w:rPr>
                <w:rFonts w:ascii="Times New Roman" w:hAnsi="Times New Roman" w:cs="Times New Roman"/>
                <w:b/>
                <w:lang w:val="lt-LT"/>
              </w:rPr>
              <w:t>Trumpinys</w:t>
            </w:r>
          </w:p>
        </w:tc>
        <w:tc>
          <w:tcPr>
            <w:tcW w:w="8554" w:type="dxa"/>
            <w:shd w:val="clear" w:color="auto" w:fill="F2F2F2" w:themeFill="background1" w:themeFillShade="F2"/>
          </w:tcPr>
          <w:p w14:paraId="052AC51F" w14:textId="3C20AC58" w:rsidR="009D30DA" w:rsidRPr="00D505CE" w:rsidRDefault="009D30DA" w:rsidP="008B0BE4">
            <w:pPr>
              <w:spacing w:before="120" w:after="120"/>
              <w:jc w:val="both"/>
              <w:rPr>
                <w:rFonts w:ascii="Times New Roman" w:hAnsi="Times New Roman" w:cs="Times New Roman"/>
                <w:b/>
                <w:lang w:val="lt-LT"/>
              </w:rPr>
            </w:pPr>
            <w:r w:rsidRPr="00D505CE">
              <w:rPr>
                <w:rFonts w:ascii="Times New Roman" w:hAnsi="Times New Roman" w:cs="Times New Roman"/>
                <w:b/>
                <w:lang w:val="lt-LT"/>
              </w:rPr>
              <w:t>Paaiškinimas</w:t>
            </w:r>
          </w:p>
        </w:tc>
      </w:tr>
      <w:tr w:rsidR="000E4377" w:rsidRPr="000F5242" w14:paraId="3A7EAF24" w14:textId="77777777" w:rsidTr="009D30DA">
        <w:tc>
          <w:tcPr>
            <w:tcW w:w="1937" w:type="dxa"/>
          </w:tcPr>
          <w:p w14:paraId="7EE9760E"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Atrankos kriterijai</w:t>
            </w:r>
          </w:p>
        </w:tc>
        <w:tc>
          <w:tcPr>
            <w:tcW w:w="8554" w:type="dxa"/>
          </w:tcPr>
          <w:p w14:paraId="5D630333"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Projektinių pasiūlymų atrankos administracinės atitikties, naudos ir kokybės kriterijai</w:t>
            </w:r>
          </w:p>
        </w:tc>
      </w:tr>
      <w:tr w:rsidR="000E4377" w:rsidRPr="000F5242" w14:paraId="525D5C30" w14:textId="77777777" w:rsidTr="009D30DA">
        <w:tc>
          <w:tcPr>
            <w:tcW w:w="1937" w:type="dxa"/>
          </w:tcPr>
          <w:p w14:paraId="2911DC55"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Atsakomybės ir funkcijų paskirstymo taisyklės</w:t>
            </w:r>
          </w:p>
        </w:tc>
        <w:tc>
          <w:tcPr>
            <w:tcW w:w="8554" w:type="dxa"/>
          </w:tcPr>
          <w:p w14:paraId="2D3E8411"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Atsakomybės ir funkcijų paskirstymo tarp institucijų, įgyvendinant 2014–2020 metų Europos Sąjungos struktūrinių fondų investicijų veiksmų programą, taisyklės, pavirtintos Lietuvos Respublikos Vyriausybės 2014 m. birželio 4 d. nutarimu Nr. 528 „Dėl Atsakomybės ir funkcijų paskirstymo tarp institucijų, įgyvendinant 2014–2020 metų Europos Sąjungos struktūrinių fondų investicijų veiksmų programą“</w:t>
            </w:r>
          </w:p>
        </w:tc>
      </w:tr>
      <w:tr w:rsidR="000E4377" w:rsidRPr="000F5242" w14:paraId="21443390" w14:textId="77777777" w:rsidTr="009D30DA">
        <w:tc>
          <w:tcPr>
            <w:tcW w:w="1937" w:type="dxa"/>
          </w:tcPr>
          <w:p w14:paraId="62A6795F" w14:textId="77777777" w:rsidR="000E4377" w:rsidRPr="00E305D9" w:rsidRDefault="000E4377" w:rsidP="008B0BE4">
            <w:pPr>
              <w:spacing w:before="120" w:after="120"/>
              <w:rPr>
                <w:rFonts w:ascii="Times New Roman" w:hAnsi="Times New Roman" w:cs="Times New Roman"/>
                <w:lang w:val="lt-LT"/>
              </w:rPr>
            </w:pPr>
            <w:r>
              <w:rPr>
                <w:rFonts w:ascii="Times New Roman" w:hAnsi="Times New Roman" w:cs="Times New Roman"/>
                <w:lang w:val="lt-LT"/>
              </w:rPr>
              <w:t>Bendruomenė</w:t>
            </w:r>
          </w:p>
        </w:tc>
        <w:tc>
          <w:tcPr>
            <w:tcW w:w="8554" w:type="dxa"/>
          </w:tcPr>
          <w:p w14:paraId="278B2CD8" w14:textId="77777777" w:rsidR="000E4377" w:rsidRPr="00E305D9" w:rsidRDefault="000E4377" w:rsidP="008B0BE4">
            <w:pPr>
              <w:spacing w:before="120" w:after="120"/>
              <w:jc w:val="both"/>
              <w:rPr>
                <w:rFonts w:ascii="Times New Roman" w:hAnsi="Times New Roman" w:cs="Times New Roman"/>
                <w:lang w:val="lt-LT"/>
              </w:rPr>
            </w:pPr>
            <w:r w:rsidRPr="007511F4">
              <w:rPr>
                <w:rFonts w:ascii="Times New Roman" w:hAnsi="Times New Roman" w:cs="Times New Roman"/>
                <w:lang w:val="lt-LT"/>
              </w:rPr>
              <w:t>Gyvenamosios vietovės bendruomenė</w:t>
            </w:r>
            <w:r w:rsidRPr="00044B04">
              <w:rPr>
                <w:rFonts w:ascii="Times New Roman" w:hAnsi="Times New Roman" w:cs="Times New Roman"/>
                <w:lang w:val="lt-LT"/>
              </w:rPr>
              <w:t xml:space="preserve"> </w:t>
            </w:r>
            <w:r>
              <w:rPr>
                <w:rFonts w:ascii="Times New Roman" w:hAnsi="Times New Roman" w:cs="Times New Roman"/>
                <w:lang w:val="lt-LT"/>
              </w:rPr>
              <w:t xml:space="preserve">apibrėžta </w:t>
            </w:r>
            <w:r w:rsidRPr="00044B04">
              <w:rPr>
                <w:rFonts w:ascii="Times New Roman" w:hAnsi="Times New Roman" w:cs="Times New Roman"/>
                <w:lang w:val="lt-LT"/>
              </w:rPr>
              <w:t>Vietos s</w:t>
            </w:r>
            <w:r>
              <w:rPr>
                <w:rFonts w:ascii="Times New Roman" w:hAnsi="Times New Roman" w:cs="Times New Roman"/>
                <w:lang w:val="lt-LT"/>
              </w:rPr>
              <w:t xml:space="preserve">avivaldos įstatymo 3 str. 12 d. </w:t>
            </w:r>
            <w:r w:rsidRPr="00044B04">
              <w:rPr>
                <w:rFonts w:ascii="Times New Roman" w:hAnsi="Times New Roman" w:cs="Times New Roman"/>
                <w:lang w:val="lt-LT"/>
              </w:rPr>
              <w:t xml:space="preserve">–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w:t>
            </w:r>
            <w:r>
              <w:rPr>
                <w:rFonts w:ascii="Times New Roman" w:hAnsi="Times New Roman" w:cs="Times New Roman"/>
                <w:lang w:val="lt-LT"/>
              </w:rPr>
              <w:t>kt.). Sąvoka „bendruomenė</w:t>
            </w:r>
            <w:r w:rsidRPr="00044B04">
              <w:rPr>
                <w:rFonts w:ascii="Times New Roman" w:hAnsi="Times New Roman" w:cs="Times New Roman"/>
                <w:lang w:val="lt-LT"/>
              </w:rPr>
              <w:t>“</w:t>
            </w:r>
            <w:r>
              <w:rPr>
                <w:rFonts w:ascii="Times New Roman" w:hAnsi="Times New Roman" w:cs="Times New Roman"/>
                <w:lang w:val="lt-LT"/>
              </w:rPr>
              <w:t xml:space="preserve"> </w:t>
            </w:r>
            <w:r w:rsidRPr="00044B04">
              <w:rPr>
                <w:rFonts w:ascii="Times New Roman" w:hAnsi="Times New Roman" w:cs="Times New Roman"/>
                <w:lang w:val="lt-LT"/>
              </w:rPr>
              <w:t xml:space="preserve">vartojama, </w:t>
            </w:r>
            <w:r>
              <w:rPr>
                <w:rFonts w:ascii="Times New Roman" w:hAnsi="Times New Roman" w:cs="Times New Roman"/>
                <w:lang w:val="lt-LT"/>
              </w:rPr>
              <w:t>nes</w:t>
            </w:r>
            <w:r w:rsidRPr="00044B04">
              <w:rPr>
                <w:rFonts w:ascii="Times New Roman" w:hAnsi="Times New Roman" w:cs="Times New Roman"/>
                <w:lang w:val="lt-LT"/>
              </w:rPr>
              <w:t xml:space="preserve"> iniciatyvos turi išeiti iš apibrėžtos teritorijos bendruomenės narių</w:t>
            </w:r>
            <w:r>
              <w:rPr>
                <w:rFonts w:ascii="Times New Roman" w:hAnsi="Times New Roman" w:cs="Times New Roman"/>
                <w:lang w:val="lt-LT"/>
              </w:rPr>
              <w:t>, šiuo atveju A</w:t>
            </w:r>
            <w:r w:rsidRPr="00044B04">
              <w:rPr>
                <w:rFonts w:ascii="Times New Roman" w:hAnsi="Times New Roman" w:cs="Times New Roman"/>
                <w:lang w:val="lt-LT"/>
              </w:rPr>
              <w:t>nykščių miesto.</w:t>
            </w:r>
          </w:p>
        </w:tc>
      </w:tr>
      <w:tr w:rsidR="000E4377" w:rsidRPr="000F5242" w14:paraId="7581D71D" w14:textId="77777777" w:rsidTr="009D30DA">
        <w:tc>
          <w:tcPr>
            <w:tcW w:w="1937" w:type="dxa"/>
          </w:tcPr>
          <w:p w14:paraId="507ACDAA"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Išvada dėl vietos plėtros projekto</w:t>
            </w:r>
          </w:p>
        </w:tc>
        <w:tc>
          <w:tcPr>
            <w:tcW w:w="8554" w:type="dxa"/>
          </w:tcPr>
          <w:p w14:paraId="1230CEFF"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Anykščių miesto vietos plėtros projektinio pasiūlymo dėl vietos plėtros projekto įgyvendinimo vertinimo išvada</w:t>
            </w:r>
          </w:p>
        </w:tc>
      </w:tr>
      <w:tr w:rsidR="000E4377" w:rsidRPr="00650536" w14:paraId="283AB24A" w14:textId="77777777" w:rsidTr="009D30DA">
        <w:tc>
          <w:tcPr>
            <w:tcW w:w="1937" w:type="dxa"/>
          </w:tcPr>
          <w:p w14:paraId="11266282"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bCs/>
                <w:lang w:val="lt-LT" w:eastAsia="lt-LT"/>
              </w:rPr>
              <w:t>Komitetas</w:t>
            </w:r>
          </w:p>
        </w:tc>
        <w:tc>
          <w:tcPr>
            <w:tcW w:w="8554" w:type="dxa"/>
          </w:tcPr>
          <w:p w14:paraId="089DC928"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bCs/>
                <w:lang w:val="lt-LT" w:eastAsia="lt-LT"/>
              </w:rPr>
              <w:t>Jungtinis vietos plėtros strategijų atrankos komitetas</w:t>
            </w:r>
          </w:p>
        </w:tc>
      </w:tr>
      <w:tr w:rsidR="000E4377" w:rsidRPr="000F5242" w14:paraId="1D2AA204" w14:textId="77777777" w:rsidTr="009D30DA">
        <w:tc>
          <w:tcPr>
            <w:tcW w:w="1937" w:type="dxa"/>
          </w:tcPr>
          <w:p w14:paraId="6ED6818B"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Kvietimas atrankai</w:t>
            </w:r>
          </w:p>
        </w:tc>
        <w:tc>
          <w:tcPr>
            <w:tcW w:w="8554" w:type="dxa"/>
          </w:tcPr>
          <w:p w14:paraId="3634A855"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Kvietimas teikti bendruomenių vietos plėtros projektinius pasiūlymus</w:t>
            </w:r>
          </w:p>
        </w:tc>
      </w:tr>
      <w:tr w:rsidR="000E4377" w:rsidRPr="00650536" w14:paraId="36C7DE1E" w14:textId="77777777" w:rsidTr="009D30DA">
        <w:tc>
          <w:tcPr>
            <w:tcW w:w="1937" w:type="dxa"/>
          </w:tcPr>
          <w:p w14:paraId="079644D4"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Ministerija</w:t>
            </w:r>
          </w:p>
        </w:tc>
        <w:tc>
          <w:tcPr>
            <w:tcW w:w="8554" w:type="dxa"/>
          </w:tcPr>
          <w:p w14:paraId="2ADB3689"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Lietuvos Respublikos Vidaus reikalų Ministerija</w:t>
            </w:r>
          </w:p>
        </w:tc>
      </w:tr>
      <w:tr w:rsidR="000E4377" w:rsidRPr="00650536" w14:paraId="631B0F02" w14:textId="77777777" w:rsidTr="009D30DA">
        <w:tc>
          <w:tcPr>
            <w:tcW w:w="1937" w:type="dxa"/>
          </w:tcPr>
          <w:p w14:paraId="2CA0EF27" w14:textId="77777777" w:rsidR="000E4377" w:rsidRPr="00D505CE" w:rsidRDefault="000E4377" w:rsidP="008B0BE4">
            <w:pPr>
              <w:spacing w:before="120" w:after="120"/>
              <w:rPr>
                <w:rFonts w:ascii="Times New Roman" w:hAnsi="Times New Roman" w:cs="Times New Roman"/>
                <w:lang w:val="lt-LT"/>
              </w:rPr>
            </w:pPr>
            <w:r w:rsidRPr="00E305D9">
              <w:rPr>
                <w:rFonts w:ascii="Times New Roman" w:hAnsi="Times New Roman" w:cs="Times New Roman"/>
                <w:lang w:val="lt-LT"/>
              </w:rPr>
              <w:t>Organizacinė struktūra</w:t>
            </w:r>
          </w:p>
        </w:tc>
        <w:tc>
          <w:tcPr>
            <w:tcW w:w="8554" w:type="dxa"/>
          </w:tcPr>
          <w:p w14:paraId="3503853C" w14:textId="77777777" w:rsidR="000E4377" w:rsidRPr="00E305D9" w:rsidRDefault="000E4377" w:rsidP="008B0BE4">
            <w:pPr>
              <w:spacing w:before="120" w:after="120"/>
              <w:jc w:val="both"/>
              <w:rPr>
                <w:rFonts w:ascii="Times New Roman" w:hAnsi="Times New Roman" w:cs="Times New Roman"/>
                <w:lang w:val="lt-LT"/>
              </w:rPr>
            </w:pPr>
            <w:r w:rsidRPr="00E305D9">
              <w:rPr>
                <w:rFonts w:ascii="Times New Roman" w:hAnsi="Times New Roman" w:cs="Times New Roman"/>
                <w:lang w:val="lt-LT"/>
              </w:rPr>
              <w:t xml:space="preserve">Strategijos įgyvendinimo organizacinė struktūra </w:t>
            </w:r>
          </w:p>
        </w:tc>
      </w:tr>
      <w:tr w:rsidR="000E4377" w:rsidRPr="000F5242" w14:paraId="37DA3970" w14:textId="77777777" w:rsidTr="009D30DA">
        <w:tc>
          <w:tcPr>
            <w:tcW w:w="1937" w:type="dxa"/>
          </w:tcPr>
          <w:p w14:paraId="201BB31E"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Projektiniai pasiūlymai</w:t>
            </w:r>
          </w:p>
        </w:tc>
        <w:tc>
          <w:tcPr>
            <w:tcW w:w="8554" w:type="dxa"/>
          </w:tcPr>
          <w:p w14:paraId="61B3553F" w14:textId="308BD7DF"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Bendruomenės inicijuotų vietos plėtros projektiniai pasiūlymai</w:t>
            </w:r>
          </w:p>
        </w:tc>
      </w:tr>
      <w:tr w:rsidR="000E4377" w:rsidRPr="000F5242" w14:paraId="7D74BB56" w14:textId="77777777" w:rsidTr="009D30DA">
        <w:tc>
          <w:tcPr>
            <w:tcW w:w="1937" w:type="dxa"/>
          </w:tcPr>
          <w:p w14:paraId="49DA5893"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Projektų administravimo ir finansavimo taisyklės</w:t>
            </w:r>
          </w:p>
        </w:tc>
        <w:tc>
          <w:tcPr>
            <w:tcW w:w="8554" w:type="dxa"/>
          </w:tcPr>
          <w:p w14:paraId="5884E5E7"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Projektų administravimo ir finansavimo taisyklės, patvirtintos Lietuvos Respublikos finansų ministro 2014 m. spalio 8 d. įsakymu Nr. 1K-316 „Dėl Projektų administravimo ir finansavimo taisyklių patvirtinimo“</w:t>
            </w:r>
          </w:p>
        </w:tc>
      </w:tr>
      <w:tr w:rsidR="000E4377" w:rsidRPr="000F5242" w14:paraId="4F25896B" w14:textId="77777777" w:rsidTr="009D30DA">
        <w:tc>
          <w:tcPr>
            <w:tcW w:w="1937" w:type="dxa"/>
          </w:tcPr>
          <w:p w14:paraId="0243CC14"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Reglamentas Nr. 1303/2013</w:t>
            </w:r>
          </w:p>
        </w:tc>
        <w:tc>
          <w:tcPr>
            <w:tcW w:w="8554" w:type="dxa"/>
          </w:tcPr>
          <w:p w14:paraId="7DF8DC3A"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p>
        </w:tc>
      </w:tr>
      <w:tr w:rsidR="000E4377" w:rsidRPr="000F5242" w14:paraId="70325E8E" w14:textId="77777777" w:rsidTr="009D30DA">
        <w:tc>
          <w:tcPr>
            <w:tcW w:w="1937" w:type="dxa"/>
          </w:tcPr>
          <w:p w14:paraId="6E15B173"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lastRenderedPageBreak/>
              <w:t>Reglamentas Nr. 1304/2013</w:t>
            </w:r>
          </w:p>
        </w:tc>
        <w:tc>
          <w:tcPr>
            <w:tcW w:w="8554" w:type="dxa"/>
          </w:tcPr>
          <w:p w14:paraId="514571FA"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2013 m. gruodžio 17 d. Europos Parlamento ir Tarybos reglamentas (ES) Nr. 1304/2013 dėl Europos socialinio fondo, kuriuo panaikinamas Tarybos reglamentas (EB) Nr. 1081/2006 (OL 2013, L 347, p. 470)</w:t>
            </w:r>
          </w:p>
        </w:tc>
      </w:tr>
      <w:tr w:rsidR="000E4377" w:rsidRPr="000F5242" w14:paraId="26399A14" w14:textId="77777777" w:rsidTr="009D30DA">
        <w:tc>
          <w:tcPr>
            <w:tcW w:w="1937" w:type="dxa"/>
          </w:tcPr>
          <w:p w14:paraId="57626C83"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Strategija</w:t>
            </w:r>
          </w:p>
        </w:tc>
        <w:tc>
          <w:tcPr>
            <w:tcW w:w="8554" w:type="dxa"/>
          </w:tcPr>
          <w:p w14:paraId="75E9D266"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Anykščių miesto 2016 – 2020 m. vietos plėtros strategija, patvirtinta Lietuvos Respublikos vidaus reikalų ministro 2016 m. liepos 20 d. įsakymu Nr. 1V-505 „Dėl siūlomų atrinkti ir finansuoti pagal 2014–2020 metų Europos Sąjungos fondų investicijų veiksmų programos 8 prioriteto „Socialinės įtraukties didinimas ir kova su skurdu“ priemones Nr. 08.6.1-ESFA-T-910 „Vietos plėtros strategijų įgyvendinimo administravimas“ ir Nr. 08.6.1-ESFA-V-911 „Vietos plėtros strategijų įgyvendinimas“ vietos plėtros strategijų sąrašo sudarymo</w:t>
            </w:r>
          </w:p>
        </w:tc>
      </w:tr>
      <w:tr w:rsidR="000E4377" w:rsidRPr="000F5242" w14:paraId="106C0220" w14:textId="77777777" w:rsidTr="009D30DA">
        <w:tc>
          <w:tcPr>
            <w:tcW w:w="1937" w:type="dxa"/>
          </w:tcPr>
          <w:p w14:paraId="0AD8B108"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Strategijos įgyvendinimo aprašas</w:t>
            </w:r>
          </w:p>
        </w:tc>
        <w:tc>
          <w:tcPr>
            <w:tcW w:w="8554" w:type="dxa"/>
          </w:tcPr>
          <w:p w14:paraId="360C497D"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Anykščių miesto 2016-2020 m. vietos plėtros strategijos įgyvendinimo vidaus tvarkos aprašas</w:t>
            </w:r>
          </w:p>
        </w:tc>
      </w:tr>
      <w:tr w:rsidR="000E4377" w:rsidRPr="000F5242" w14:paraId="198EDD90" w14:textId="77777777" w:rsidTr="009D30DA">
        <w:tc>
          <w:tcPr>
            <w:tcW w:w="1937" w:type="dxa"/>
          </w:tcPr>
          <w:p w14:paraId="1A9A4491"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Strategijų atrankos ir įgyvendinimo taisyklės</w:t>
            </w:r>
          </w:p>
        </w:tc>
        <w:tc>
          <w:tcPr>
            <w:tcW w:w="8554" w:type="dxa"/>
          </w:tcPr>
          <w:p w14:paraId="2B453855"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Vietos plėtros strategijų atrankos ir įgyvendinimo taisyklės, patvirtintos Lietuvos Respublikos vidaus reikalų ministro 2015 m. gruodžio 11 d. įsakymu Nr. 1V-992 „Dėl Vietos plėtros strategijų atrankos ir įgyvendinimo taisyklių patvirtinimo“</w:t>
            </w:r>
          </w:p>
        </w:tc>
      </w:tr>
      <w:tr w:rsidR="000E4377" w:rsidRPr="00650536" w14:paraId="6EDBE6C2" w14:textId="77777777" w:rsidTr="009D30DA">
        <w:tc>
          <w:tcPr>
            <w:tcW w:w="1937" w:type="dxa"/>
          </w:tcPr>
          <w:p w14:paraId="18D69822"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Veiksmų programa</w:t>
            </w:r>
          </w:p>
        </w:tc>
        <w:tc>
          <w:tcPr>
            <w:tcW w:w="8554" w:type="dxa"/>
          </w:tcPr>
          <w:p w14:paraId="7B971A61"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2014–2020 metų Europos Sąjungos fondų investicijų veiksmų programa, patvirtinta Europos Komisijos 2014 m. rugsėjo 8 d. sprendimu Nr. C(2014)</w:t>
            </w:r>
          </w:p>
        </w:tc>
      </w:tr>
      <w:tr w:rsidR="000E4377" w:rsidRPr="000F5242" w14:paraId="470F3E9B" w14:textId="77777777" w:rsidTr="009D30DA">
        <w:tc>
          <w:tcPr>
            <w:tcW w:w="1937" w:type="dxa"/>
          </w:tcPr>
          <w:p w14:paraId="0530937F"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Vertinimo ir atrankos aprašas</w:t>
            </w:r>
          </w:p>
        </w:tc>
        <w:tc>
          <w:tcPr>
            <w:tcW w:w="8554" w:type="dxa"/>
          </w:tcPr>
          <w:p w14:paraId="33971BB8"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Anykščių miesto vietos plėtros projektinių pasiūlymų vertinimo ir atrankos vidaus tvarkos aprašas</w:t>
            </w:r>
          </w:p>
        </w:tc>
      </w:tr>
      <w:tr w:rsidR="000E4377" w:rsidRPr="000F5242" w14:paraId="05F755EE" w14:textId="77777777" w:rsidTr="009D30DA">
        <w:tc>
          <w:tcPr>
            <w:tcW w:w="1937" w:type="dxa"/>
          </w:tcPr>
          <w:p w14:paraId="2EE19534" w14:textId="77777777" w:rsidR="000E4377" w:rsidRPr="00D505CE" w:rsidRDefault="000E4377" w:rsidP="008B0BE4">
            <w:pPr>
              <w:spacing w:before="120" w:after="120"/>
              <w:rPr>
                <w:rFonts w:ascii="Times New Roman" w:hAnsi="Times New Roman" w:cs="Times New Roman"/>
                <w:lang w:val="lt-LT"/>
              </w:rPr>
            </w:pPr>
            <w:r w:rsidRPr="00D505CE">
              <w:rPr>
                <w:rFonts w:ascii="Times New Roman" w:hAnsi="Times New Roman" w:cs="Times New Roman"/>
                <w:lang w:val="lt-LT"/>
              </w:rPr>
              <w:t>Vietos plėtros strategijų rengimo taisyklės</w:t>
            </w:r>
          </w:p>
        </w:tc>
        <w:tc>
          <w:tcPr>
            <w:tcW w:w="8554" w:type="dxa"/>
          </w:tcPr>
          <w:p w14:paraId="1F25BE04" w14:textId="77777777" w:rsidR="000E4377" w:rsidRPr="00D505CE" w:rsidRDefault="000E4377" w:rsidP="008B0BE4">
            <w:pPr>
              <w:spacing w:before="120" w:after="120"/>
              <w:jc w:val="both"/>
              <w:rPr>
                <w:rFonts w:ascii="Times New Roman" w:hAnsi="Times New Roman" w:cs="Times New Roman"/>
                <w:lang w:val="lt-LT"/>
              </w:rPr>
            </w:pPr>
            <w:r w:rsidRPr="00D505CE">
              <w:rPr>
                <w:rFonts w:ascii="Times New Roman" w:hAnsi="Times New Roman" w:cs="Times New Roman"/>
                <w:lang w:val="lt-LT"/>
              </w:rPr>
              <w:t>Vietos plėtros strategijų rengimo taisyklės, patvirtintos Lietuvos Respublikos vidaus reikalų ministro 2015 m. sausio 22 d. įsakymu Nr. 1V-36 „Dėl Vietos plėtros strategijų rengimo taisyklių patvirtinimo“</w:t>
            </w:r>
          </w:p>
        </w:tc>
      </w:tr>
    </w:tbl>
    <w:p w14:paraId="589AA6C3" w14:textId="77777777" w:rsidR="009D30DA" w:rsidRPr="008347A2" w:rsidRDefault="009D30DA" w:rsidP="008B0BE4">
      <w:pPr>
        <w:pStyle w:val="Default"/>
        <w:spacing w:before="120" w:after="120"/>
        <w:jc w:val="both"/>
        <w:rPr>
          <w:color w:val="auto"/>
        </w:rPr>
      </w:pPr>
    </w:p>
    <w:p w14:paraId="006DE191" w14:textId="391CEF5D" w:rsidR="00FE0A58" w:rsidRPr="000A69D5" w:rsidRDefault="000A69D5" w:rsidP="000A69D5">
      <w:pPr>
        <w:pStyle w:val="Heading1"/>
      </w:pPr>
      <w:bookmarkStart w:id="5" w:name="_Toc484547341"/>
      <w:r w:rsidRPr="000A69D5">
        <w:lastRenderedPageBreak/>
        <w:t>Skyrius. Bendrosios nuostatos</w:t>
      </w:r>
      <w:bookmarkEnd w:id="5"/>
    </w:p>
    <w:p w14:paraId="45CEE2A8" w14:textId="5AAA343D" w:rsidR="006A6899" w:rsidRDefault="001B795F" w:rsidP="006A6899">
      <w:pPr>
        <w:pStyle w:val="Default"/>
        <w:numPr>
          <w:ilvl w:val="0"/>
          <w:numId w:val="7"/>
        </w:numPr>
        <w:spacing w:before="120" w:after="120"/>
        <w:jc w:val="both"/>
        <w:rPr>
          <w:color w:val="auto"/>
        </w:rPr>
      </w:pPr>
      <w:r w:rsidRPr="006A6899">
        <w:rPr>
          <w:color w:val="auto"/>
        </w:rPr>
        <w:t xml:space="preserve">Anykščių miesto 2016-2020 m. vietos plėtros strategijos įgyvendinimo vidaus tvarkos aprašas </w:t>
      </w:r>
      <w:r w:rsidR="00637D72" w:rsidRPr="006A6899">
        <w:rPr>
          <w:color w:val="auto"/>
        </w:rPr>
        <w:t xml:space="preserve">(toliau – </w:t>
      </w:r>
      <w:r w:rsidRPr="006A6899">
        <w:rPr>
          <w:color w:val="auto"/>
        </w:rPr>
        <w:t>Strategijos įgyvendinimo aprašas), parengta</w:t>
      </w:r>
      <w:r w:rsidR="00637D72" w:rsidRPr="006A6899">
        <w:rPr>
          <w:color w:val="auto"/>
        </w:rPr>
        <w:t>s įgyvendinant projektą „</w:t>
      </w:r>
      <w:r w:rsidRPr="006A6899">
        <w:rPr>
          <w:color w:val="auto"/>
        </w:rPr>
        <w:t>Anykščių miesto vietos plėtros strategijos įgyvendinimo administravimas</w:t>
      </w:r>
      <w:r w:rsidR="00637D72" w:rsidRPr="006A6899">
        <w:rPr>
          <w:color w:val="auto"/>
        </w:rPr>
        <w:t>“ (</w:t>
      </w:r>
      <w:r w:rsidRPr="006A6899">
        <w:rPr>
          <w:color w:val="auto"/>
        </w:rPr>
        <w:t>Nr. 08.6.1-ESFA-T-910-02-0001</w:t>
      </w:r>
      <w:r w:rsidR="00637D72" w:rsidRPr="006A6899">
        <w:rPr>
          <w:color w:val="auto"/>
        </w:rPr>
        <w:t xml:space="preserve">), nustato </w:t>
      </w:r>
      <w:r w:rsidRPr="006A6899">
        <w:rPr>
          <w:color w:val="auto"/>
        </w:rPr>
        <w:t xml:space="preserve">Anykščių miesto 2016 – 2020 m. vietos plėtros strategijos </w:t>
      </w:r>
      <w:r w:rsidR="00637D72" w:rsidRPr="006A6899">
        <w:rPr>
          <w:color w:val="auto"/>
        </w:rPr>
        <w:t xml:space="preserve">(toliau – Strategija) veiklų ir bendruomenės inicijuotų vietos plėtros projektinių pasiūlymų (toliau – Projektiniai pasiūlymai) atrankos ir Strategijos įgyvendinimo viešinimo, stebėsenos, keitimo tvarką. </w:t>
      </w:r>
      <w:r w:rsidR="00CE1BED" w:rsidRPr="006A6899">
        <w:rPr>
          <w:color w:val="auto"/>
        </w:rPr>
        <w:t>Projektinio pasiūlymo forma pateikta Strategijos įgyvendinimo aprašo 2 priede.</w:t>
      </w:r>
      <w:r w:rsidR="006A6899" w:rsidRPr="006A6899">
        <w:rPr>
          <w:color w:val="auto"/>
        </w:rPr>
        <w:t xml:space="preserve"> Žemiau esančiame paveiksle pateikta </w:t>
      </w:r>
      <w:r w:rsidR="006A6899">
        <w:rPr>
          <w:color w:val="auto"/>
        </w:rPr>
        <w:t xml:space="preserve">įgyvendinamo </w:t>
      </w:r>
      <w:r w:rsidR="006A6899" w:rsidRPr="006A6899">
        <w:rPr>
          <w:color w:val="auto"/>
        </w:rPr>
        <w:t>projekto teisinė aplinka ir pagrindiniai teisės aktai, kuriais vadovaujantis parengtas Strategijos įgyvendinimo aprašas:</w:t>
      </w:r>
    </w:p>
    <w:p w14:paraId="3089649C" w14:textId="33425655" w:rsidR="008E74A6" w:rsidRPr="006A6899" w:rsidRDefault="008E74A6" w:rsidP="00026835">
      <w:pPr>
        <w:pStyle w:val="Default"/>
        <w:spacing w:before="120" w:after="120"/>
        <w:ind w:left="720"/>
        <w:jc w:val="center"/>
        <w:rPr>
          <w:color w:val="auto"/>
        </w:rPr>
      </w:pPr>
      <w:r>
        <w:rPr>
          <w:noProof/>
          <w:lang w:eastAsia="lt-LT"/>
        </w:rPr>
        <w:drawing>
          <wp:inline distT="0" distB="0" distL="0" distR="0" wp14:anchorId="12F6CBCE" wp14:editId="70F6AF42">
            <wp:extent cx="5810250" cy="5510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1274" cy="5521231"/>
                    </a:xfrm>
                    <a:prstGeom prst="rect">
                      <a:avLst/>
                    </a:prstGeom>
                  </pic:spPr>
                </pic:pic>
              </a:graphicData>
            </a:graphic>
          </wp:inline>
        </w:drawing>
      </w:r>
    </w:p>
    <w:p w14:paraId="3609FE3A" w14:textId="77777777" w:rsidR="006A6899" w:rsidRPr="006A6899" w:rsidRDefault="006A6899" w:rsidP="006A6899">
      <w:pPr>
        <w:pStyle w:val="Caption"/>
        <w:ind w:left="720"/>
        <w:jc w:val="center"/>
        <w:rPr>
          <w:rFonts w:ascii="Times New Roman" w:hAnsi="Times New Roman" w:cs="Times New Roman"/>
          <w:color w:val="auto"/>
          <w:sz w:val="22"/>
          <w:szCs w:val="22"/>
          <w:lang w:val="lt-LT"/>
        </w:rPr>
      </w:pPr>
      <w:r w:rsidRPr="006A6899">
        <w:rPr>
          <w:rFonts w:ascii="Times New Roman" w:hAnsi="Times New Roman" w:cs="Times New Roman"/>
          <w:color w:val="auto"/>
          <w:sz w:val="22"/>
          <w:szCs w:val="22"/>
          <w:lang w:val="lt-LT"/>
        </w:rPr>
        <w:t xml:space="preserve">Pav. </w:t>
      </w:r>
      <w:r w:rsidRPr="006A6899">
        <w:rPr>
          <w:rFonts w:ascii="Times New Roman" w:hAnsi="Times New Roman" w:cs="Times New Roman"/>
          <w:color w:val="auto"/>
          <w:sz w:val="22"/>
          <w:szCs w:val="22"/>
          <w:lang w:val="lt-LT"/>
        </w:rPr>
        <w:fldChar w:fldCharType="begin"/>
      </w:r>
      <w:r w:rsidRPr="006A6899">
        <w:rPr>
          <w:rFonts w:ascii="Times New Roman" w:hAnsi="Times New Roman" w:cs="Times New Roman"/>
          <w:color w:val="auto"/>
          <w:sz w:val="22"/>
          <w:szCs w:val="22"/>
          <w:lang w:val="lt-LT"/>
        </w:rPr>
        <w:instrText xml:space="preserve"> SEQ Pav. \* ARABIC </w:instrText>
      </w:r>
      <w:r w:rsidRPr="006A6899">
        <w:rPr>
          <w:rFonts w:ascii="Times New Roman" w:hAnsi="Times New Roman" w:cs="Times New Roman"/>
          <w:color w:val="auto"/>
          <w:sz w:val="22"/>
          <w:szCs w:val="22"/>
          <w:lang w:val="lt-LT"/>
        </w:rPr>
        <w:fldChar w:fldCharType="separate"/>
      </w:r>
      <w:r w:rsidR="007D6C65">
        <w:rPr>
          <w:rFonts w:ascii="Times New Roman" w:hAnsi="Times New Roman" w:cs="Times New Roman"/>
          <w:noProof/>
          <w:color w:val="auto"/>
          <w:sz w:val="22"/>
          <w:szCs w:val="22"/>
          <w:lang w:val="lt-LT"/>
        </w:rPr>
        <w:t>1</w:t>
      </w:r>
      <w:r w:rsidRPr="006A6899">
        <w:rPr>
          <w:rFonts w:ascii="Times New Roman" w:hAnsi="Times New Roman" w:cs="Times New Roman"/>
          <w:noProof/>
          <w:color w:val="auto"/>
          <w:sz w:val="22"/>
          <w:szCs w:val="22"/>
          <w:lang w:val="lt-LT"/>
        </w:rPr>
        <w:fldChar w:fldCharType="end"/>
      </w:r>
      <w:r w:rsidRPr="006A6899">
        <w:rPr>
          <w:rFonts w:ascii="Times New Roman" w:hAnsi="Times New Roman" w:cs="Times New Roman"/>
          <w:color w:val="auto"/>
          <w:sz w:val="22"/>
          <w:szCs w:val="22"/>
          <w:lang w:val="lt-LT"/>
        </w:rPr>
        <w:t>. Teisinė aplinka</w:t>
      </w:r>
    </w:p>
    <w:p w14:paraId="30765DE8" w14:textId="77777777" w:rsidR="006A6899" w:rsidRPr="00FB1155" w:rsidRDefault="006A6899" w:rsidP="006A6899">
      <w:pPr>
        <w:pStyle w:val="Default"/>
        <w:spacing w:before="120" w:after="120"/>
        <w:ind w:left="720"/>
        <w:jc w:val="both"/>
        <w:rPr>
          <w:color w:val="auto"/>
        </w:rPr>
      </w:pPr>
    </w:p>
    <w:p w14:paraId="2D03DC9E" w14:textId="77777777" w:rsidR="00032DE1" w:rsidRPr="00FB1155" w:rsidRDefault="002F5811" w:rsidP="00032DE1">
      <w:pPr>
        <w:pStyle w:val="Default"/>
        <w:numPr>
          <w:ilvl w:val="0"/>
          <w:numId w:val="7"/>
        </w:numPr>
        <w:spacing w:before="120" w:after="120"/>
        <w:jc w:val="both"/>
        <w:rPr>
          <w:color w:val="auto"/>
        </w:rPr>
      </w:pPr>
      <w:r w:rsidRPr="00FB1155">
        <w:rPr>
          <w:color w:val="auto"/>
        </w:rPr>
        <w:t>Strategijos įgyvendinimo aprašas parengta</w:t>
      </w:r>
      <w:r w:rsidR="00637D72" w:rsidRPr="00FB1155">
        <w:rPr>
          <w:color w:val="auto"/>
        </w:rPr>
        <w:t>s vadovaujantis</w:t>
      </w:r>
      <w:r w:rsidRPr="00FB1155">
        <w:rPr>
          <w:color w:val="auto"/>
        </w:rPr>
        <w:t>:</w:t>
      </w:r>
    </w:p>
    <w:p w14:paraId="08336F0C" w14:textId="77777777" w:rsidR="002F5811" w:rsidRPr="00FB1155" w:rsidRDefault="00637D72" w:rsidP="00032DE1">
      <w:pPr>
        <w:pStyle w:val="Default"/>
        <w:numPr>
          <w:ilvl w:val="1"/>
          <w:numId w:val="12"/>
        </w:numPr>
        <w:spacing w:before="120" w:after="120"/>
        <w:jc w:val="both"/>
        <w:rPr>
          <w:color w:val="auto"/>
        </w:rPr>
      </w:pPr>
      <w:r w:rsidRPr="00FB1155">
        <w:rPr>
          <w:color w:val="auto"/>
        </w:rPr>
        <w:t>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(tolia</w:t>
      </w:r>
      <w:r w:rsidR="002F5811" w:rsidRPr="00FB1155">
        <w:rPr>
          <w:color w:val="auto"/>
        </w:rPr>
        <w:t>u – reglamentas Nr. 1303/2013),</w:t>
      </w:r>
    </w:p>
    <w:p w14:paraId="3837C413" w14:textId="77777777" w:rsidR="002F5811" w:rsidRPr="00FB1155" w:rsidRDefault="00637D72" w:rsidP="00032DE1">
      <w:pPr>
        <w:pStyle w:val="Default"/>
        <w:numPr>
          <w:ilvl w:val="1"/>
          <w:numId w:val="12"/>
        </w:numPr>
        <w:spacing w:before="120" w:after="120"/>
        <w:jc w:val="both"/>
        <w:rPr>
          <w:color w:val="auto"/>
        </w:rPr>
      </w:pPr>
      <w:r w:rsidRPr="00FB1155">
        <w:rPr>
          <w:color w:val="auto"/>
        </w:rPr>
        <w:t>2013 m. gruodžio 17 d. Europos Parlamento ir Tarybos reglamentu (ES) Nr. 1304/2013 dėl Europos socialinio fondo, kuriuo panaikinamas Tarybos reglamentas (EB) Nr. 1081/2006 (OL 2013, L 347, p. 470) (tolia</w:t>
      </w:r>
      <w:r w:rsidR="002F5811" w:rsidRPr="00FB1155">
        <w:rPr>
          <w:color w:val="auto"/>
        </w:rPr>
        <w:t>u – reglamentas Nr. 1304/2013),</w:t>
      </w:r>
    </w:p>
    <w:p w14:paraId="4E69E6E4" w14:textId="77777777" w:rsidR="002F5811" w:rsidRPr="00FB1155" w:rsidRDefault="00637D72" w:rsidP="00032DE1">
      <w:pPr>
        <w:pStyle w:val="Default"/>
        <w:numPr>
          <w:ilvl w:val="1"/>
          <w:numId w:val="12"/>
        </w:numPr>
        <w:spacing w:before="120" w:after="120"/>
        <w:jc w:val="both"/>
        <w:rPr>
          <w:color w:val="auto"/>
        </w:rPr>
      </w:pPr>
      <w:r w:rsidRPr="00FB1155">
        <w:rPr>
          <w:color w:val="auto"/>
        </w:rPr>
        <w:t>Lietuvos Respublikos partnerystės sutartimi, patvirtinta Europos Komisijos 2014 m. birželio 20 d.</w:t>
      </w:r>
      <w:r w:rsidR="002F5811" w:rsidRPr="00FB1155">
        <w:rPr>
          <w:color w:val="auto"/>
        </w:rPr>
        <w:t xml:space="preserve"> sprendimu Nr. 2014LT16M8PA001,</w:t>
      </w:r>
    </w:p>
    <w:p w14:paraId="4FCB9870" w14:textId="77777777" w:rsidR="002F5811" w:rsidRPr="00FB1155" w:rsidRDefault="00637D72" w:rsidP="00032DE1">
      <w:pPr>
        <w:pStyle w:val="Default"/>
        <w:numPr>
          <w:ilvl w:val="1"/>
          <w:numId w:val="12"/>
        </w:numPr>
        <w:spacing w:before="120" w:after="120"/>
        <w:jc w:val="both"/>
        <w:rPr>
          <w:color w:val="auto"/>
        </w:rPr>
      </w:pPr>
      <w:r w:rsidRPr="00FB1155">
        <w:rPr>
          <w:color w:val="auto"/>
        </w:rPr>
        <w:t>Atsakomybės ir funkcijų paskirstymo tarp institucijų, įgyvendinant 2014–2020 metų Europos Sąjungos struktūrinių fondų investicijų veiksmų programą, taisyklėmis, pavirtintomis Lietuvos Respublikos Vyriausybės 2014 m. birželio 4 d. nutarimu Nr. 528 „Dėl Atsakomybės ir funkcijų paskirstymo tarp institucijų, įgyvendinant 2014–2020 metų Europos Sąjungos struktūrinių fondų investicijų veiksmų programą“ (toliau – Atsakomybės ir funkcijų paskirstymo taisyklės),</w:t>
      </w:r>
    </w:p>
    <w:p w14:paraId="50A3D1D6" w14:textId="77777777" w:rsidR="00032DE1" w:rsidRPr="00FB1155" w:rsidRDefault="00637D72" w:rsidP="00032DE1">
      <w:pPr>
        <w:pStyle w:val="Default"/>
        <w:numPr>
          <w:ilvl w:val="1"/>
          <w:numId w:val="12"/>
        </w:numPr>
        <w:spacing w:before="120" w:after="120"/>
        <w:jc w:val="both"/>
        <w:rPr>
          <w:color w:val="auto"/>
        </w:rPr>
      </w:pPr>
      <w:r w:rsidRPr="00FB1155">
        <w:rPr>
          <w:color w:val="auto"/>
        </w:rPr>
        <w:t>Vie</w:t>
      </w:r>
      <w:r w:rsidR="002F5811" w:rsidRPr="00FB1155">
        <w:rPr>
          <w:color w:val="auto"/>
        </w:rPr>
        <w:t xml:space="preserve">tos plėtros strategijų rengimo </w:t>
      </w:r>
      <w:r w:rsidRPr="00FB1155">
        <w:rPr>
          <w:color w:val="auto"/>
        </w:rPr>
        <w:t>taisyklėmis, patvirtintomis Lietuvos Respublikos vidaus reikalų ministro 2015 m. sausio 22 d. įsakymu Nr. 1V-36 „Dėl Vietos plėtros strategijų rengimo taisyklių patvirtinimo“ (toliau – Vietos plėtros</w:t>
      </w:r>
      <w:r w:rsidR="00032DE1" w:rsidRPr="00FB1155">
        <w:rPr>
          <w:color w:val="auto"/>
        </w:rPr>
        <w:t xml:space="preserve"> strategijų rengimo taisyklės),</w:t>
      </w:r>
    </w:p>
    <w:p w14:paraId="37B5CDB8" w14:textId="77777777" w:rsidR="00032DE1" w:rsidRPr="00FB1155" w:rsidRDefault="00637D72" w:rsidP="00032DE1">
      <w:pPr>
        <w:pStyle w:val="Default"/>
        <w:numPr>
          <w:ilvl w:val="1"/>
          <w:numId w:val="12"/>
        </w:numPr>
        <w:spacing w:before="120" w:after="120"/>
        <w:jc w:val="both"/>
        <w:rPr>
          <w:color w:val="auto"/>
        </w:rPr>
      </w:pPr>
      <w:r w:rsidRPr="00FB1155">
        <w:rPr>
          <w:color w:val="auto"/>
        </w:rPr>
        <w:t>2014–2020 metų Europos Sąjungos fondų investicijų veiksmų programa, patvirtinta Europos Komisijos 2014 m. rugsėjo 8 d. sprendimu Nr. C(2014)6397 (toliau – Veiksmų programa),</w:t>
      </w:r>
    </w:p>
    <w:p w14:paraId="54A1D08D" w14:textId="4099540B" w:rsidR="00032DE1" w:rsidRPr="00FB1155" w:rsidRDefault="00637D72" w:rsidP="00032DE1">
      <w:pPr>
        <w:pStyle w:val="Default"/>
        <w:numPr>
          <w:ilvl w:val="1"/>
          <w:numId w:val="12"/>
        </w:numPr>
        <w:spacing w:before="120" w:after="120"/>
        <w:jc w:val="both"/>
        <w:rPr>
          <w:color w:val="auto"/>
        </w:rPr>
      </w:pPr>
      <w:r w:rsidRPr="00FB1155">
        <w:rPr>
          <w:color w:val="auto"/>
        </w:rPr>
        <w:t>2014–2020 metų Europos Sąjungos fondų investicijų veiksmų programos 8 prioriteto „Socialinės įtraukties didinimas ir kova su skurdu“ 08.6.1-ESFA-T-909 priemonės „Vietos plėtros strategijų rengimas“ projektų finansavimo sąlygų aprašu, patvirtintu Lietuvos Respublikos vidaus reikalų ministro 2015 m. gegužės 18 d. įsakymu Nr. 1V-402 „Dėl 2014–2020 metų Europos Sąjungos fondų investicijų veiksmų programos 8 prioriteto „Socialinės įtraukties didinimas ir kova su skurdu“ 08.6.1-ESFA-T-909 priemonės „Vietos plėtros strategijų rengimas“ projektų finansavimo sąlygų aprašo pa</w:t>
      </w:r>
      <w:r w:rsidR="00945E10" w:rsidRPr="00FB1155">
        <w:rPr>
          <w:color w:val="auto"/>
        </w:rPr>
        <w:t>tvirtinimo“</w:t>
      </w:r>
      <w:r w:rsidR="00032DE1" w:rsidRPr="00FB1155">
        <w:rPr>
          <w:color w:val="auto"/>
        </w:rPr>
        <w:t>,</w:t>
      </w:r>
    </w:p>
    <w:p w14:paraId="5ECAA0B7" w14:textId="77777777" w:rsidR="00032DE1" w:rsidRPr="00FB1155" w:rsidRDefault="00637D72" w:rsidP="00032DE1">
      <w:pPr>
        <w:pStyle w:val="Default"/>
        <w:numPr>
          <w:ilvl w:val="1"/>
          <w:numId w:val="12"/>
        </w:numPr>
        <w:spacing w:before="120" w:after="120"/>
        <w:jc w:val="both"/>
        <w:rPr>
          <w:color w:val="auto"/>
        </w:rPr>
      </w:pPr>
      <w:r w:rsidRPr="00FB1155">
        <w:rPr>
          <w:color w:val="auto"/>
        </w:rPr>
        <w:t>Projektų administravimo ir finansavimo taisyklėmis, patvirtintomis Lietuvos Respublikos finansų ministro 2014 m. spalio 8 d. įsakymu Nr. 1K-316 „Dėl Projektų administravimo ir finansavimo taisyklių patvirtinimo“ (toliau – Projektų administra</w:t>
      </w:r>
      <w:r w:rsidR="00032DE1" w:rsidRPr="00FB1155">
        <w:rPr>
          <w:color w:val="auto"/>
        </w:rPr>
        <w:t>vimo ir finansavimo taisyklės);</w:t>
      </w:r>
    </w:p>
    <w:p w14:paraId="1E84711D" w14:textId="4F7D9443" w:rsidR="00032DE1" w:rsidRPr="00FB1155" w:rsidRDefault="00032DE1" w:rsidP="0029779A">
      <w:pPr>
        <w:pStyle w:val="Default"/>
        <w:numPr>
          <w:ilvl w:val="1"/>
          <w:numId w:val="12"/>
        </w:numPr>
        <w:spacing w:before="120" w:after="120"/>
        <w:jc w:val="both"/>
        <w:rPr>
          <w:color w:val="auto"/>
        </w:rPr>
      </w:pPr>
      <w:r w:rsidRPr="00FB1155">
        <w:rPr>
          <w:color w:val="auto"/>
        </w:rPr>
        <w:t xml:space="preserve">Anykščių miesto 2016 – 2020 m. vietos plėtros </w:t>
      </w:r>
      <w:r w:rsidR="0029779A" w:rsidRPr="00FB1155">
        <w:rPr>
          <w:color w:val="auto"/>
        </w:rPr>
        <w:t>strategija</w:t>
      </w:r>
      <w:r w:rsidR="0093578E" w:rsidRPr="00FB1155">
        <w:rPr>
          <w:color w:val="auto"/>
        </w:rPr>
        <w:t xml:space="preserve"> (toliau – Strategija)</w:t>
      </w:r>
      <w:r w:rsidR="0029779A" w:rsidRPr="00FB1155">
        <w:rPr>
          <w:color w:val="auto"/>
        </w:rPr>
        <w:t xml:space="preserve">, patvirtinta </w:t>
      </w:r>
      <w:r w:rsidRPr="00FB1155">
        <w:rPr>
          <w:color w:val="auto"/>
        </w:rPr>
        <w:t>Lietuvos Respublikos vidaus reikalų ministro 2016 m. liepos 20 d. įsakymu Nr. 1V-505</w:t>
      </w:r>
      <w:r w:rsidR="0029779A" w:rsidRPr="00FB1155">
        <w:rPr>
          <w:color w:val="auto"/>
        </w:rPr>
        <w:t xml:space="preserve"> „Dėl siūlomų atrinkti ir finansuoti pagal 2014–2020 metų Europos Sąjungos fondų investicijų veiksmų programos 8 prioriteto „Socialinės įtraukties didinimas ir kova su </w:t>
      </w:r>
      <w:r w:rsidR="0029779A" w:rsidRPr="00FB1155">
        <w:rPr>
          <w:color w:val="auto"/>
        </w:rPr>
        <w:lastRenderedPageBreak/>
        <w:t>skurdu“ priemones Nr. 08.6.1-ESFA-T-910 „Vietos plėtros strategijų įgyvendinimo administravimas“ ir Nr. 08.6.1-ESFA-V-911 „Vietos plėtros strategijų įgyvendinimas“ vietos plėtros strategijų sąrašo sudarymo,</w:t>
      </w:r>
    </w:p>
    <w:p w14:paraId="59F416D6" w14:textId="77777777" w:rsidR="0029779A" w:rsidRPr="00FB1155" w:rsidRDefault="0029779A" w:rsidP="0029779A">
      <w:pPr>
        <w:pStyle w:val="Default"/>
        <w:numPr>
          <w:ilvl w:val="1"/>
          <w:numId w:val="12"/>
        </w:numPr>
        <w:spacing w:before="120" w:after="120"/>
        <w:jc w:val="both"/>
        <w:rPr>
          <w:color w:val="auto"/>
        </w:rPr>
      </w:pPr>
      <w:r w:rsidRPr="00FB1155">
        <w:rPr>
          <w:color w:val="auto"/>
        </w:rPr>
        <w:t>Vietos plėtros strategijų atrankos ir įgyvendinimo taisyklės, patvirtintos Lietuvos Respublikos vidaus reikalų ministro 2015 m. gruodžio 11 d. įsakymu Nr. 1V-992 „Dėl Vietos plėtros strategijų atrankos ir įgyvendinimo taisyklių patvirtinimo“ (toliau - Strategijų atrankos ir įgyvendinimo taisyklės).</w:t>
      </w:r>
    </w:p>
    <w:p w14:paraId="041CFD84" w14:textId="1E08F465" w:rsidR="0029779A" w:rsidRPr="00FB1155" w:rsidRDefault="0029779A" w:rsidP="0029779A">
      <w:pPr>
        <w:pStyle w:val="Default"/>
        <w:numPr>
          <w:ilvl w:val="1"/>
          <w:numId w:val="12"/>
        </w:numPr>
        <w:spacing w:before="120" w:after="120"/>
        <w:jc w:val="both"/>
        <w:rPr>
          <w:color w:val="auto"/>
        </w:rPr>
      </w:pPr>
      <w:r w:rsidRPr="00FB1155">
        <w:rPr>
          <w:color w:val="auto"/>
        </w:rPr>
        <w:t>Priemonės „Vietos plėtros strategijų įgyvendinimo administravimas“ projektų finansavimo sąlygų aprašas, patvirtintas Lietuvos Respublikos vidaus reikalų ministro 2016 m. liepos 7 d. įsakymu Nr.1</w:t>
      </w:r>
      <w:r w:rsidR="00C9104D" w:rsidRPr="00FB1155">
        <w:rPr>
          <w:color w:val="auto"/>
        </w:rPr>
        <w:t>V</w:t>
      </w:r>
      <w:r w:rsidRPr="00FB1155">
        <w:rPr>
          <w:color w:val="auto"/>
        </w:rPr>
        <w:t>-483 „dėl 2014–2020 metų Europos Sąjungos fondų investicijų veiksmų programos 8 prioriteto „Socialinės įtraukties didinimas ir kova su skurdu“ Nr. 08.6.1-ESFA-T-910 priemonės „Vietos plėtros strategijų įgyvendinimo administravimas“ projektų finansavimo sąlygų aprašo patvirtinimo“.</w:t>
      </w:r>
    </w:p>
    <w:p w14:paraId="2D4FFAC8" w14:textId="49FAE5D8" w:rsidR="00637D72" w:rsidRPr="00FB1155" w:rsidRDefault="00E609C3" w:rsidP="00E609C3">
      <w:pPr>
        <w:pStyle w:val="Default"/>
        <w:numPr>
          <w:ilvl w:val="0"/>
          <w:numId w:val="7"/>
        </w:numPr>
        <w:spacing w:before="120" w:after="120"/>
        <w:jc w:val="both"/>
        <w:rPr>
          <w:color w:val="auto"/>
        </w:rPr>
      </w:pPr>
      <w:r w:rsidRPr="00FB1155">
        <w:rPr>
          <w:color w:val="auto"/>
        </w:rPr>
        <w:t xml:space="preserve">Strategijos įgyvendinimo apraše </w:t>
      </w:r>
      <w:r w:rsidR="00637D72" w:rsidRPr="00FB1155">
        <w:rPr>
          <w:color w:val="auto"/>
        </w:rPr>
        <w:t xml:space="preserve">vartojamos sąvokos suprantamos taip, kaip jas apibrėžia reglamentas Nr. 1303/2013, reglamentas Nr. 1304/2013; Lietuvos Respublikos vietos savivaldos įstatymas; Atsakomybės ir funkcijų paskirstymo taisyklės; Strateginio planavimo metodika, patvirtinta Lietuvos Respublikos Vyriausybės 2002 m. birželio 6 d. nutarimu Nr. 827 „Dėl Strateginio planavimo metodikos patvirtinimo“; Integruotų teritorijų vystymo programų rengimo ir įgyvendinimo gairės, patvirtintos Lietuvos Respublikos vidaus reikalų ministro 2014 m. liepos 11 d. įsakymu Nr. 1V-480 „Dėl Integruotų teritorijų vystymo programų rengimo ir įgyvendinimo gairių patvirtinimo“; Projektų administravimo ir finansavimo taisyklės. </w:t>
      </w:r>
    </w:p>
    <w:p w14:paraId="7629BC7E" w14:textId="111C41E3" w:rsidR="00637D72" w:rsidRPr="00FB1155" w:rsidRDefault="00F37799" w:rsidP="000A69D5">
      <w:pPr>
        <w:pStyle w:val="Heading1"/>
      </w:pPr>
      <w:bookmarkStart w:id="6" w:name="_Toc484547342"/>
      <w:r w:rsidRPr="00FB1155">
        <w:lastRenderedPageBreak/>
        <w:t>Skyrius. Atrankos kriterijai ir procedūros, projektinių pasiūlymų sąrašų sudarymas</w:t>
      </w:r>
      <w:bookmarkEnd w:id="6"/>
    </w:p>
    <w:p w14:paraId="6B35E372" w14:textId="7EA9B697" w:rsidR="00637D72" w:rsidRPr="000A69D5" w:rsidRDefault="000A69D5" w:rsidP="000A69D5">
      <w:pPr>
        <w:pStyle w:val="Heading2"/>
      </w:pPr>
      <w:bookmarkStart w:id="7" w:name="_Toc484547343"/>
      <w:r w:rsidRPr="000A69D5">
        <w:rPr>
          <w:rFonts w:ascii="Times New Roman" w:hAnsi="Times New Roman"/>
          <w:szCs w:val="24"/>
        </w:rPr>
        <w:t>I. Skirsnis. Projektinių pasiūlymų atrankos kriterijų nustatymas administracinės atitikties, naudos ir kokybės kriterijai</w:t>
      </w:r>
      <w:bookmarkEnd w:id="7"/>
    </w:p>
    <w:p w14:paraId="0D637877" w14:textId="4916226E" w:rsidR="00637D72" w:rsidRPr="00FB1155" w:rsidRDefault="001B795F" w:rsidP="009C57E7">
      <w:pPr>
        <w:pStyle w:val="Default"/>
        <w:numPr>
          <w:ilvl w:val="0"/>
          <w:numId w:val="7"/>
        </w:numPr>
        <w:spacing w:before="120" w:after="120"/>
        <w:jc w:val="both"/>
        <w:rPr>
          <w:color w:val="auto"/>
        </w:rPr>
      </w:pPr>
      <w:r w:rsidRPr="00FB1155">
        <w:rPr>
          <w:color w:val="auto"/>
        </w:rPr>
        <w:t>Anykščių</w:t>
      </w:r>
      <w:r w:rsidR="00637D72" w:rsidRPr="00FB1155">
        <w:rPr>
          <w:color w:val="auto"/>
        </w:rPr>
        <w:t xml:space="preserve"> miesto vietos veiklos grupė (toliau – </w:t>
      </w:r>
      <w:r w:rsidRPr="00FB1155">
        <w:rPr>
          <w:color w:val="auto"/>
        </w:rPr>
        <w:t>Anykščių</w:t>
      </w:r>
      <w:r w:rsidR="00E609C3" w:rsidRPr="00FB1155">
        <w:rPr>
          <w:color w:val="auto"/>
        </w:rPr>
        <w:t xml:space="preserve"> miesto</w:t>
      </w:r>
      <w:r w:rsidR="00637D72" w:rsidRPr="00FB1155">
        <w:rPr>
          <w:color w:val="auto"/>
        </w:rPr>
        <w:t xml:space="preserve"> VVG) ne vėliau kaip 5 d. iki </w:t>
      </w:r>
      <w:r w:rsidR="000D364C" w:rsidRPr="00FB1155">
        <w:rPr>
          <w:color w:val="auto"/>
        </w:rPr>
        <w:t>Kvietimo teikti bendruomenių vietos plėtros projektinius pasiūlymus (toliau - Kvietimas</w:t>
      </w:r>
      <w:r w:rsidR="00637D72" w:rsidRPr="00FB1155">
        <w:rPr>
          <w:color w:val="auto"/>
        </w:rPr>
        <w:t xml:space="preserve"> atrankai</w:t>
      </w:r>
      <w:r w:rsidR="000D364C" w:rsidRPr="00FB1155">
        <w:rPr>
          <w:color w:val="auto"/>
        </w:rPr>
        <w:t>)</w:t>
      </w:r>
      <w:r w:rsidR="00637D72" w:rsidRPr="00FB1155">
        <w:rPr>
          <w:color w:val="auto"/>
        </w:rPr>
        <w:t xml:space="preserve"> paskelbimo dienos parengia Projektinių pasiūlymų atrankos administracinės atitikties, naudos ir kokybės kriterijus</w:t>
      </w:r>
      <w:r w:rsidR="000E7136" w:rsidRPr="00FB1155">
        <w:rPr>
          <w:color w:val="auto"/>
        </w:rPr>
        <w:t xml:space="preserve"> (toliau – Atrankos kriterijai)</w:t>
      </w:r>
      <w:r w:rsidR="00637D72" w:rsidRPr="00FB1155">
        <w:rPr>
          <w:color w:val="auto"/>
        </w:rPr>
        <w:t xml:space="preserve">, jų vertinimo balus ir </w:t>
      </w:r>
      <w:r w:rsidR="009C57E7" w:rsidRPr="009C57E7">
        <w:rPr>
          <w:color w:val="auto"/>
        </w:rPr>
        <w:t>Anykščių miesto vietos plėtros projektinių pasiūlymų vertinimo ir</w:t>
      </w:r>
      <w:r w:rsidR="009C57E7">
        <w:rPr>
          <w:color w:val="auto"/>
        </w:rPr>
        <w:t xml:space="preserve"> atrankos vidaus tvarkos aprašą</w:t>
      </w:r>
      <w:r w:rsidR="009C57E7" w:rsidRPr="009C57E7">
        <w:rPr>
          <w:color w:val="auto"/>
        </w:rPr>
        <w:t xml:space="preserve"> </w:t>
      </w:r>
      <w:r w:rsidR="00637D72" w:rsidRPr="00FB1155">
        <w:rPr>
          <w:color w:val="auto"/>
        </w:rPr>
        <w:t xml:space="preserve">(toliau – </w:t>
      </w:r>
      <w:r w:rsidR="00F94608" w:rsidRPr="00FB1155">
        <w:rPr>
          <w:color w:val="auto"/>
        </w:rPr>
        <w:t>Vertinimo ir atrankos a</w:t>
      </w:r>
      <w:r w:rsidR="00637D72" w:rsidRPr="00FB1155">
        <w:rPr>
          <w:color w:val="auto"/>
        </w:rPr>
        <w:t xml:space="preserve">prašas), atsižvelgdama į Strategijos dalyje „Vietos plėtros strategijos </w:t>
      </w:r>
      <w:r w:rsidR="00C9104D" w:rsidRPr="00FB1155">
        <w:rPr>
          <w:color w:val="auto"/>
        </w:rPr>
        <w:t>valdymo ir stebėsenos tvarka“ (VI</w:t>
      </w:r>
      <w:r w:rsidR="000E7136" w:rsidRPr="00FB1155">
        <w:rPr>
          <w:color w:val="auto"/>
        </w:rPr>
        <w:t xml:space="preserve"> dalis) aprašytus veiksmus</w:t>
      </w:r>
      <w:r w:rsidR="00637D72" w:rsidRPr="00FB1155">
        <w:rPr>
          <w:color w:val="auto"/>
        </w:rPr>
        <w:t xml:space="preserve"> ir 2014–2020 metų Europos Sąjungos fondų investicijų veiksmų programos 8 prioriteto „Socialinės įtraukties didinimas ir kova su skurdu“ Nr. 08.6.1-ESFA-V-911 priemonės „Vietos plėtros strategijų įgyvendinimas“ projektų finansavimo sąlygų aprašą</w:t>
      </w:r>
      <w:r w:rsidR="00C9104D" w:rsidRPr="00FB1155">
        <w:rPr>
          <w:color w:val="auto"/>
        </w:rPr>
        <w:t>, patvirtintą Lietuvos Respublikos vidaus reikalų ministro 2017 m. sausio 30 d. įsakymu Nr. 1V-77 „Dėl 2014–2020 metų Europos Sąjungos fondų investicijų veiksmų programos 8 prioriteto „Socialinės įtraukties didinimas ir kova su skurdu“ Nr. 08.6.1-</w:t>
      </w:r>
      <w:r w:rsidR="00262F14" w:rsidRPr="00FB1155">
        <w:rPr>
          <w:color w:val="auto"/>
        </w:rPr>
        <w:t>ESFA-V</w:t>
      </w:r>
      <w:r w:rsidR="00C9104D" w:rsidRPr="00FB1155">
        <w:rPr>
          <w:color w:val="auto"/>
        </w:rPr>
        <w:t>-911 priemonės „Vietos plėtros strategijų įgyvendinimas“ projektų finansavimo sąlygų aprašo patvirtinimo“.</w:t>
      </w:r>
      <w:r w:rsidR="00637D72" w:rsidRPr="00FB1155">
        <w:rPr>
          <w:color w:val="auto"/>
        </w:rPr>
        <w:t xml:space="preserve"> </w:t>
      </w:r>
      <w:r w:rsidR="00F94608" w:rsidRPr="00FB1155">
        <w:rPr>
          <w:color w:val="auto"/>
        </w:rPr>
        <w:t xml:space="preserve">Vertinimo ir atrankos </w:t>
      </w:r>
      <w:r w:rsidR="008660D7" w:rsidRPr="00FB1155">
        <w:rPr>
          <w:color w:val="auto"/>
        </w:rPr>
        <w:t xml:space="preserve">aprašas </w:t>
      </w:r>
      <w:r w:rsidR="00637D72" w:rsidRPr="00FB1155">
        <w:rPr>
          <w:color w:val="auto"/>
        </w:rPr>
        <w:t xml:space="preserve">ir Atrankos kriterijai turi būti aiškūs, tinkami Projektinius pasiūlymus atrinkti skaidriai, nediskriminuojančiai, išvengiant interesų konfliktų, užtikrinantys stebėsenos rodiklio pasiekiamumą. </w:t>
      </w:r>
    </w:p>
    <w:p w14:paraId="3C111E02" w14:textId="591C5CD3" w:rsidR="00637D72" w:rsidRPr="00FB1155" w:rsidRDefault="001B795F" w:rsidP="008660D7">
      <w:pPr>
        <w:pStyle w:val="Default"/>
        <w:numPr>
          <w:ilvl w:val="0"/>
          <w:numId w:val="7"/>
        </w:numPr>
        <w:spacing w:before="120" w:after="120"/>
        <w:jc w:val="both"/>
        <w:rPr>
          <w:color w:val="auto"/>
        </w:rPr>
      </w:pPr>
      <w:r w:rsidRPr="00FB1155">
        <w:rPr>
          <w:color w:val="auto"/>
        </w:rPr>
        <w:t>Anykščių</w:t>
      </w:r>
      <w:r w:rsidR="008660D7" w:rsidRPr="00FB1155">
        <w:rPr>
          <w:color w:val="auto"/>
        </w:rPr>
        <w:t xml:space="preserve"> miesto</w:t>
      </w:r>
      <w:r w:rsidR="00637D72" w:rsidRPr="00FB1155">
        <w:rPr>
          <w:color w:val="auto"/>
        </w:rPr>
        <w:t xml:space="preserve"> VVG, rengdama 4 punkte nurodytus dokumentus, gali konsultuotis su </w:t>
      </w:r>
      <w:r w:rsidR="000E7136" w:rsidRPr="00FB1155">
        <w:rPr>
          <w:color w:val="auto"/>
        </w:rPr>
        <w:t xml:space="preserve">Lietuvos respublikos </w:t>
      </w:r>
      <w:r w:rsidR="00637D72" w:rsidRPr="00FB1155">
        <w:rPr>
          <w:color w:val="auto"/>
        </w:rPr>
        <w:t xml:space="preserve">Vidaus reikalų Ministerijos (toliau – Ministerija) Regioninės politikos departamento Regioninės politikos strateginio koordinavimo skyriumi. </w:t>
      </w:r>
    </w:p>
    <w:p w14:paraId="77B91614" w14:textId="116EE7D0" w:rsidR="00637D72" w:rsidRPr="00FB1155" w:rsidRDefault="00637D72" w:rsidP="00F94608">
      <w:pPr>
        <w:pStyle w:val="Default"/>
        <w:numPr>
          <w:ilvl w:val="0"/>
          <w:numId w:val="7"/>
        </w:numPr>
        <w:spacing w:before="120" w:after="120"/>
        <w:jc w:val="both"/>
        <w:rPr>
          <w:color w:val="auto"/>
        </w:rPr>
      </w:pPr>
      <w:r w:rsidRPr="00FB1155">
        <w:rPr>
          <w:color w:val="auto"/>
        </w:rPr>
        <w:t xml:space="preserve">Atrankos kriterijus, </w:t>
      </w:r>
      <w:r w:rsidR="00F94608" w:rsidRPr="00FB1155">
        <w:rPr>
          <w:color w:val="auto"/>
        </w:rPr>
        <w:t xml:space="preserve">Vertinimo ir atrankos </w:t>
      </w:r>
      <w:r w:rsidR="008660D7" w:rsidRPr="00FB1155">
        <w:rPr>
          <w:color w:val="auto"/>
        </w:rPr>
        <w:t xml:space="preserve">aprašą </w:t>
      </w:r>
      <w:r w:rsidRPr="00FB1155">
        <w:rPr>
          <w:color w:val="auto"/>
        </w:rPr>
        <w:t xml:space="preserve">ne vėliau kaip 3 d. iki kvietimo atrankai paskelbimo dienos tvirtina </w:t>
      </w:r>
      <w:r w:rsidR="001B795F" w:rsidRPr="00FB1155">
        <w:rPr>
          <w:color w:val="auto"/>
        </w:rPr>
        <w:t>Anykščių</w:t>
      </w:r>
      <w:r w:rsidR="008660D7" w:rsidRPr="00FB1155">
        <w:rPr>
          <w:color w:val="auto"/>
        </w:rPr>
        <w:t xml:space="preserve"> miesto</w:t>
      </w:r>
      <w:r w:rsidRPr="00FB1155">
        <w:rPr>
          <w:color w:val="auto"/>
        </w:rPr>
        <w:t xml:space="preserve"> VVG valdyba (toliau – Asociacijos valdyba). Prieš Atrankos kriterijų ir </w:t>
      </w:r>
      <w:r w:rsidR="00F94608" w:rsidRPr="00FB1155">
        <w:rPr>
          <w:color w:val="auto"/>
        </w:rPr>
        <w:t xml:space="preserve">Vertinimo ir atrankos </w:t>
      </w:r>
      <w:r w:rsidR="008660D7" w:rsidRPr="00FB1155">
        <w:rPr>
          <w:color w:val="auto"/>
        </w:rPr>
        <w:t xml:space="preserve">aprašo </w:t>
      </w:r>
      <w:r w:rsidRPr="00FB1155">
        <w:rPr>
          <w:color w:val="auto"/>
        </w:rPr>
        <w:t xml:space="preserve">tvirtinimą </w:t>
      </w:r>
      <w:r w:rsidR="001B795F" w:rsidRPr="00FB1155">
        <w:rPr>
          <w:color w:val="auto"/>
        </w:rPr>
        <w:t>Anykščių</w:t>
      </w:r>
      <w:r w:rsidR="008660D7" w:rsidRPr="00FB1155">
        <w:rPr>
          <w:color w:val="auto"/>
        </w:rPr>
        <w:t xml:space="preserve"> miesto</w:t>
      </w:r>
      <w:r w:rsidRPr="00FB1155">
        <w:rPr>
          <w:color w:val="auto"/>
        </w:rPr>
        <w:t xml:space="preserve"> VVG gali derinti juos su Ministerija. </w:t>
      </w:r>
    </w:p>
    <w:p w14:paraId="1290F7ED" w14:textId="2A9F75BC" w:rsidR="00637D72" w:rsidRPr="00FB1155" w:rsidRDefault="00637D72" w:rsidP="008660D7">
      <w:pPr>
        <w:pStyle w:val="Default"/>
        <w:numPr>
          <w:ilvl w:val="0"/>
          <w:numId w:val="7"/>
        </w:numPr>
        <w:spacing w:before="120" w:after="120"/>
        <w:jc w:val="both"/>
        <w:rPr>
          <w:color w:val="auto"/>
        </w:rPr>
      </w:pPr>
      <w:r w:rsidRPr="00FB1155">
        <w:rPr>
          <w:color w:val="auto"/>
        </w:rPr>
        <w:t xml:space="preserve">Prieš paskelbiant Kvietimą atrankai, Atrankos kriterijai ir </w:t>
      </w:r>
      <w:r w:rsidR="00F94608" w:rsidRPr="00FB1155">
        <w:rPr>
          <w:color w:val="auto"/>
        </w:rPr>
        <w:t xml:space="preserve">Vertinimo ir atrankos </w:t>
      </w:r>
      <w:r w:rsidR="008660D7" w:rsidRPr="00FB1155">
        <w:rPr>
          <w:color w:val="auto"/>
        </w:rPr>
        <w:t xml:space="preserve">aprašas </w:t>
      </w:r>
      <w:r w:rsidRPr="00FB1155">
        <w:rPr>
          <w:color w:val="auto"/>
        </w:rPr>
        <w:t xml:space="preserve">gali būti keičiami siekiant efektyvesnio vietos plėtros strategijos įgyvendinimo ir (arba) atsižvelgiant į vietos plėtros strategijos pakeitimus. Paskelbus Kvietimą atrankai ir Projektinių pasiūlymų vertinimo metu Atrankos kriterijai ir </w:t>
      </w:r>
      <w:r w:rsidR="00F94608" w:rsidRPr="00FB1155">
        <w:rPr>
          <w:color w:val="auto"/>
        </w:rPr>
        <w:t xml:space="preserve">Vertinimo ir atrankos aprašas </w:t>
      </w:r>
      <w:r w:rsidRPr="00FB1155">
        <w:rPr>
          <w:color w:val="auto"/>
        </w:rPr>
        <w:t xml:space="preserve">nekeičiami. </w:t>
      </w:r>
    </w:p>
    <w:p w14:paraId="08FD6C0F" w14:textId="00E21667" w:rsidR="00637D72" w:rsidRPr="00FB1155" w:rsidRDefault="00F37799" w:rsidP="00524A84">
      <w:pPr>
        <w:pStyle w:val="Heading2"/>
        <w:ind w:left="426" w:hanging="432"/>
        <w:rPr>
          <w:rFonts w:ascii="Times New Roman" w:hAnsi="Times New Roman"/>
          <w:szCs w:val="24"/>
        </w:rPr>
      </w:pPr>
      <w:bookmarkStart w:id="8" w:name="_Toc484547344"/>
      <w:r w:rsidRPr="00FB1155">
        <w:rPr>
          <w:rFonts w:ascii="Times New Roman" w:hAnsi="Times New Roman"/>
          <w:szCs w:val="24"/>
        </w:rPr>
        <w:t>II Skirsnis</w:t>
      </w:r>
      <w:r w:rsidR="00524A84" w:rsidRPr="00FB1155">
        <w:rPr>
          <w:rFonts w:ascii="Times New Roman" w:hAnsi="Times New Roman"/>
          <w:szCs w:val="24"/>
        </w:rPr>
        <w:t>. Kvietimas teikti projektinius pasiūlymus atrankai</w:t>
      </w:r>
      <w:bookmarkEnd w:id="8"/>
    </w:p>
    <w:p w14:paraId="605C3D8A" w14:textId="399C7B97" w:rsidR="00637D72" w:rsidRPr="00FB1155" w:rsidRDefault="001B795F" w:rsidP="006D6E25">
      <w:pPr>
        <w:pStyle w:val="Default"/>
        <w:numPr>
          <w:ilvl w:val="0"/>
          <w:numId w:val="7"/>
        </w:numPr>
        <w:spacing w:before="120" w:after="120"/>
        <w:jc w:val="both"/>
        <w:rPr>
          <w:color w:val="auto"/>
        </w:rPr>
      </w:pPr>
      <w:r w:rsidRPr="00FB1155">
        <w:rPr>
          <w:color w:val="auto"/>
        </w:rPr>
        <w:t>Anykščių</w:t>
      </w:r>
      <w:r w:rsidR="00CD0107" w:rsidRPr="00FB1155">
        <w:rPr>
          <w:color w:val="auto"/>
        </w:rPr>
        <w:t xml:space="preserve"> miesto VVG skelbia Kvietimą</w:t>
      </w:r>
      <w:r w:rsidR="00637D72" w:rsidRPr="00FB1155">
        <w:rPr>
          <w:color w:val="auto"/>
        </w:rPr>
        <w:t xml:space="preserve"> atrankai, tik po to, kai yra </w:t>
      </w:r>
      <w:r w:rsidR="00CA3F5A" w:rsidRPr="00FB1155">
        <w:rPr>
          <w:color w:val="auto"/>
        </w:rPr>
        <w:t>Strategijos įgyvendinimo aprašo</w:t>
      </w:r>
      <w:r w:rsidR="00CD0107" w:rsidRPr="00FB1155">
        <w:rPr>
          <w:color w:val="auto"/>
        </w:rPr>
        <w:t xml:space="preserve"> </w:t>
      </w:r>
      <w:r w:rsidR="00637D72" w:rsidRPr="00FB1155">
        <w:rPr>
          <w:color w:val="auto"/>
        </w:rPr>
        <w:t xml:space="preserve">4 ir 5 punktuose nustatyta tvarka parengti ir patvirtinti Atrankos kriterijai, jų vertinimo balai ir </w:t>
      </w:r>
      <w:r w:rsidR="00CD0107" w:rsidRPr="00FB1155">
        <w:rPr>
          <w:color w:val="auto"/>
        </w:rPr>
        <w:t>Vertinimo ir atrankos aprašas</w:t>
      </w:r>
      <w:r w:rsidR="00637D72" w:rsidRPr="00FB1155">
        <w:rPr>
          <w:color w:val="auto"/>
        </w:rPr>
        <w:t>. Kvie</w:t>
      </w:r>
      <w:r w:rsidR="00CD0107" w:rsidRPr="00FB1155">
        <w:rPr>
          <w:color w:val="auto"/>
        </w:rPr>
        <w:t>time atrankai turi būti nurodytos</w:t>
      </w:r>
      <w:r w:rsidR="00637D72" w:rsidRPr="00FB1155">
        <w:rPr>
          <w:color w:val="auto"/>
        </w:rPr>
        <w:t xml:space="preserve"> Projektin</w:t>
      </w:r>
      <w:r w:rsidR="008456F8" w:rsidRPr="00FB1155">
        <w:rPr>
          <w:color w:val="auto"/>
        </w:rPr>
        <w:t xml:space="preserve">ių </w:t>
      </w:r>
      <w:r w:rsidR="008456F8" w:rsidRPr="00FB1155">
        <w:rPr>
          <w:color w:val="auto"/>
        </w:rPr>
        <w:lastRenderedPageBreak/>
        <w:t>pasiūlymų atrankos sąlygos (P</w:t>
      </w:r>
      <w:r w:rsidR="00637D72" w:rsidRPr="00FB1155">
        <w:rPr>
          <w:color w:val="auto"/>
        </w:rPr>
        <w:t xml:space="preserve">rojektinių pasiūlymų teikimo laikotarpis, kuris turi būti ne trumpesnis kaip 1 mėnuo nuo Kvietimo atrankai paskelbimo dienos, planuojama skirti lėšų vietos plėtros projektams įgyvendinti suma, tinkami Projektinių pasiūlymų teikėjai ir kt.). Atrankos sąlygas nustato </w:t>
      </w:r>
      <w:r w:rsidRPr="00FB1155">
        <w:rPr>
          <w:color w:val="auto"/>
        </w:rPr>
        <w:t>Anykščių</w:t>
      </w:r>
      <w:r w:rsidR="00CA3F5A" w:rsidRPr="00FB1155">
        <w:rPr>
          <w:color w:val="auto"/>
        </w:rPr>
        <w:t xml:space="preserve"> miesto</w:t>
      </w:r>
      <w:r w:rsidR="00637D72" w:rsidRPr="00FB1155">
        <w:rPr>
          <w:color w:val="auto"/>
        </w:rPr>
        <w:t xml:space="preserve"> VVG, atsižvelgdama į </w:t>
      </w:r>
      <w:r w:rsidR="003C5155" w:rsidRPr="00FB1155">
        <w:rPr>
          <w:color w:val="auto"/>
        </w:rPr>
        <w:t xml:space="preserve">Strategijų atrankos ir įgyvendinimo taisykles </w:t>
      </w:r>
      <w:r w:rsidR="00CA3F5A" w:rsidRPr="00FB1155">
        <w:rPr>
          <w:color w:val="auto"/>
        </w:rPr>
        <w:t xml:space="preserve">ir </w:t>
      </w:r>
      <w:r w:rsidR="006D6E25" w:rsidRPr="00FB1155">
        <w:rPr>
          <w:color w:val="auto"/>
        </w:rPr>
        <w:t xml:space="preserve">Strategijos įgyvendinimo </w:t>
      </w:r>
      <w:r w:rsidR="00CA3F5A" w:rsidRPr="00FB1155">
        <w:rPr>
          <w:color w:val="auto"/>
        </w:rPr>
        <w:t>aprašą</w:t>
      </w:r>
      <w:r w:rsidR="00637D72" w:rsidRPr="00FB1155">
        <w:rPr>
          <w:color w:val="auto"/>
        </w:rPr>
        <w:t xml:space="preserve">. </w:t>
      </w:r>
      <w:r w:rsidRPr="00FB1155">
        <w:rPr>
          <w:color w:val="auto"/>
        </w:rPr>
        <w:t>Anykščių</w:t>
      </w:r>
      <w:r w:rsidR="00CD0107" w:rsidRPr="00FB1155">
        <w:rPr>
          <w:color w:val="auto"/>
        </w:rPr>
        <w:t xml:space="preserve"> miesto</w:t>
      </w:r>
      <w:r w:rsidR="00637D72" w:rsidRPr="00FB1155">
        <w:rPr>
          <w:color w:val="auto"/>
        </w:rPr>
        <w:t xml:space="preserve"> VVG ske</w:t>
      </w:r>
      <w:r w:rsidR="00CA3F5A" w:rsidRPr="00FB1155">
        <w:rPr>
          <w:color w:val="auto"/>
        </w:rPr>
        <w:t>lbia Kvietimą atrankai pagal šio</w:t>
      </w:r>
      <w:r w:rsidR="00637D72" w:rsidRPr="00FB1155">
        <w:rPr>
          <w:color w:val="auto"/>
        </w:rPr>
        <w:t xml:space="preserve"> </w:t>
      </w:r>
      <w:r w:rsidR="00CA3F5A" w:rsidRPr="00FB1155">
        <w:rPr>
          <w:color w:val="auto"/>
        </w:rPr>
        <w:t xml:space="preserve">Strategijos įgyvendinimo aprašo </w:t>
      </w:r>
      <w:r w:rsidR="00637D72" w:rsidRPr="00FB1155">
        <w:rPr>
          <w:color w:val="auto"/>
        </w:rPr>
        <w:t>1 priede nustatytą formą</w:t>
      </w:r>
      <w:r w:rsidR="003C5155" w:rsidRPr="00FB1155">
        <w:rPr>
          <w:color w:val="auto"/>
        </w:rPr>
        <w:t xml:space="preserve"> „Kvietimo</w:t>
      </w:r>
      <w:r w:rsidR="00CA3F5A" w:rsidRPr="00FB1155">
        <w:rPr>
          <w:color w:val="auto"/>
        </w:rPr>
        <w:t xml:space="preserve"> atrankai</w:t>
      </w:r>
      <w:r w:rsidR="003C5155" w:rsidRPr="00FB1155">
        <w:rPr>
          <w:color w:val="auto"/>
        </w:rPr>
        <w:t xml:space="preserve"> forma</w:t>
      </w:r>
      <w:r w:rsidR="00CA3F5A" w:rsidRPr="00FB1155">
        <w:rPr>
          <w:color w:val="auto"/>
        </w:rPr>
        <w:t>“</w:t>
      </w:r>
      <w:r w:rsidR="00637D72" w:rsidRPr="00FB1155">
        <w:rPr>
          <w:color w:val="auto"/>
        </w:rPr>
        <w:t xml:space="preserve">. </w:t>
      </w:r>
    </w:p>
    <w:p w14:paraId="4DB1C02F" w14:textId="7133A4A2" w:rsidR="00637D72" w:rsidRPr="00FB1155" w:rsidRDefault="00637D72" w:rsidP="003527D5">
      <w:pPr>
        <w:pStyle w:val="Default"/>
        <w:numPr>
          <w:ilvl w:val="0"/>
          <w:numId w:val="7"/>
        </w:numPr>
        <w:spacing w:before="120" w:after="120"/>
        <w:jc w:val="both"/>
        <w:rPr>
          <w:color w:val="auto"/>
        </w:rPr>
      </w:pPr>
      <w:r w:rsidRPr="00FB1155">
        <w:rPr>
          <w:color w:val="auto"/>
        </w:rPr>
        <w:t xml:space="preserve">Kvietimas atrankai skelbiamas lietuvių kalba </w:t>
      </w:r>
      <w:r w:rsidR="00CA3F5A" w:rsidRPr="00FB1155">
        <w:rPr>
          <w:color w:val="auto"/>
        </w:rPr>
        <w:t xml:space="preserve">Anykščių miesto savivaldybės </w:t>
      </w:r>
      <w:r w:rsidRPr="00FB1155">
        <w:rPr>
          <w:color w:val="auto"/>
        </w:rPr>
        <w:t>interneto svetainėje</w:t>
      </w:r>
      <w:r w:rsidR="003527D5">
        <w:rPr>
          <w:color w:val="auto"/>
        </w:rPr>
        <w:t xml:space="preserve"> </w:t>
      </w:r>
      <w:hyperlink r:id="rId13" w:history="1">
        <w:r w:rsidR="003527D5" w:rsidRPr="001A1C40">
          <w:rPr>
            <w:rStyle w:val="Hyperlink"/>
          </w:rPr>
          <w:t>https://www.anyksciai.lt</w:t>
        </w:r>
      </w:hyperlink>
      <w:r w:rsidR="003527D5">
        <w:rPr>
          <w:color w:val="auto"/>
        </w:rPr>
        <w:t xml:space="preserve"> arba (ir) pagal galimybes kitose </w:t>
      </w:r>
      <w:r w:rsidR="003527D5" w:rsidRPr="00FB1155">
        <w:rPr>
          <w:color w:val="auto"/>
        </w:rPr>
        <w:t>interneto svetainė</w:t>
      </w:r>
      <w:r w:rsidR="003527D5">
        <w:rPr>
          <w:color w:val="auto"/>
        </w:rPr>
        <w:t>se</w:t>
      </w:r>
      <w:r w:rsidRPr="00FB1155">
        <w:rPr>
          <w:color w:val="auto"/>
        </w:rPr>
        <w:t xml:space="preserve">. Siekiant efektyviau informuoti galimus Projektinių pasiūlymų rengėjus, kvietimas atrankai </w:t>
      </w:r>
      <w:r w:rsidR="00CA3F5A" w:rsidRPr="00FB1155">
        <w:rPr>
          <w:color w:val="auto"/>
        </w:rPr>
        <w:t xml:space="preserve">gali būti </w:t>
      </w:r>
      <w:r w:rsidRPr="00FB1155">
        <w:rPr>
          <w:color w:val="auto"/>
        </w:rPr>
        <w:t xml:space="preserve">skelbiamas </w:t>
      </w:r>
      <w:r w:rsidR="00CA3F5A" w:rsidRPr="00FB1155">
        <w:rPr>
          <w:color w:val="auto"/>
        </w:rPr>
        <w:t>kitose pasirinktose interneto svetainėse ar kitomis informavimo priemonėmis.</w:t>
      </w:r>
      <w:r w:rsidRPr="00FB1155">
        <w:rPr>
          <w:color w:val="auto"/>
        </w:rPr>
        <w:t xml:space="preserve"> </w:t>
      </w:r>
    </w:p>
    <w:p w14:paraId="372697E0" w14:textId="57ED2245" w:rsidR="00637D72" w:rsidRPr="00FB1155" w:rsidRDefault="001B795F" w:rsidP="00CA3F5A">
      <w:pPr>
        <w:pStyle w:val="Default"/>
        <w:numPr>
          <w:ilvl w:val="0"/>
          <w:numId w:val="7"/>
        </w:numPr>
        <w:spacing w:before="120" w:after="120"/>
        <w:jc w:val="both"/>
        <w:rPr>
          <w:color w:val="auto"/>
        </w:rPr>
      </w:pPr>
      <w:r w:rsidRPr="00FB1155">
        <w:rPr>
          <w:color w:val="auto"/>
        </w:rPr>
        <w:t>Anykščių</w:t>
      </w:r>
      <w:r w:rsidR="00CA3F5A" w:rsidRPr="00FB1155">
        <w:rPr>
          <w:color w:val="auto"/>
        </w:rPr>
        <w:t xml:space="preserve"> miesto</w:t>
      </w:r>
      <w:r w:rsidR="00637D72" w:rsidRPr="00FB1155">
        <w:rPr>
          <w:color w:val="auto"/>
        </w:rPr>
        <w:t xml:space="preserve"> VVG užtikrina, kad informacija apie Kvietimą atrankai būtų vieša ir prieinama visiems galimiems Projektinių pasiūlymų rengėjams ir visuomenei. </w:t>
      </w:r>
    </w:p>
    <w:p w14:paraId="5E9D4D2E" w14:textId="04170444" w:rsidR="00637D72" w:rsidRPr="00FB1155" w:rsidRDefault="001B795F" w:rsidP="00CA3F5A">
      <w:pPr>
        <w:pStyle w:val="Default"/>
        <w:numPr>
          <w:ilvl w:val="0"/>
          <w:numId w:val="7"/>
        </w:numPr>
        <w:spacing w:before="120" w:after="120"/>
        <w:jc w:val="both"/>
        <w:rPr>
          <w:color w:val="auto"/>
        </w:rPr>
      </w:pPr>
      <w:r w:rsidRPr="00FB1155">
        <w:rPr>
          <w:color w:val="auto"/>
        </w:rPr>
        <w:t>Anykščių</w:t>
      </w:r>
      <w:r w:rsidR="00CA3F5A" w:rsidRPr="00FB1155">
        <w:rPr>
          <w:color w:val="auto"/>
        </w:rPr>
        <w:t xml:space="preserve"> miesto</w:t>
      </w:r>
      <w:r w:rsidR="00637D72" w:rsidRPr="00FB1155">
        <w:rPr>
          <w:color w:val="auto"/>
        </w:rPr>
        <w:t xml:space="preserve"> VVG </w:t>
      </w:r>
      <w:r w:rsidR="008456F8" w:rsidRPr="00FB1155">
        <w:rPr>
          <w:color w:val="auto"/>
        </w:rPr>
        <w:t>surengia mokymus P</w:t>
      </w:r>
      <w:r w:rsidR="00637D72" w:rsidRPr="00FB1155">
        <w:rPr>
          <w:color w:val="auto"/>
        </w:rPr>
        <w:t xml:space="preserve">rojektinių pasiūlymų rengėjams: </w:t>
      </w:r>
    </w:p>
    <w:p w14:paraId="53A6D1A0" w14:textId="450DC16E" w:rsidR="00637D72" w:rsidRPr="00FB1155" w:rsidRDefault="001B795F" w:rsidP="00515D09">
      <w:pPr>
        <w:pStyle w:val="Default"/>
        <w:numPr>
          <w:ilvl w:val="1"/>
          <w:numId w:val="13"/>
        </w:numPr>
        <w:spacing w:before="120" w:after="120"/>
        <w:jc w:val="both"/>
        <w:rPr>
          <w:color w:val="auto"/>
        </w:rPr>
      </w:pPr>
      <w:r w:rsidRPr="00FB1155">
        <w:rPr>
          <w:color w:val="auto"/>
        </w:rPr>
        <w:t>Anykščių</w:t>
      </w:r>
      <w:r w:rsidR="00CA3F5A" w:rsidRPr="00FB1155">
        <w:rPr>
          <w:color w:val="auto"/>
        </w:rPr>
        <w:t xml:space="preserve"> miesto</w:t>
      </w:r>
      <w:r w:rsidR="00637D72" w:rsidRPr="00FB1155">
        <w:rPr>
          <w:color w:val="auto"/>
        </w:rPr>
        <w:t xml:space="preserve"> VVG </w:t>
      </w:r>
      <w:r w:rsidR="00ED1EEB">
        <w:rPr>
          <w:color w:val="auto"/>
        </w:rPr>
        <w:t xml:space="preserve">po </w:t>
      </w:r>
      <w:r w:rsidR="00637D72" w:rsidRPr="00FB1155">
        <w:rPr>
          <w:color w:val="auto"/>
        </w:rPr>
        <w:t>Kvietimo atrankai paskelbimo su</w:t>
      </w:r>
      <w:r w:rsidR="008456F8" w:rsidRPr="00FB1155">
        <w:rPr>
          <w:color w:val="auto"/>
        </w:rPr>
        <w:t>rengia mokymus dėl reikalavimų P</w:t>
      </w:r>
      <w:r w:rsidR="00637D72" w:rsidRPr="00FB1155">
        <w:rPr>
          <w:color w:val="auto"/>
        </w:rPr>
        <w:t xml:space="preserve">rojektiniams pasiūlymams, stebėsenos rodiklių, remiamų veiklų, išlaidų </w:t>
      </w:r>
      <w:r w:rsidR="00CA3F5A" w:rsidRPr="00FB1155">
        <w:rPr>
          <w:color w:val="auto"/>
        </w:rPr>
        <w:t>tinkamumo, susijusių su Kvietimu</w:t>
      </w:r>
      <w:r w:rsidR="00637D72" w:rsidRPr="00FB1155">
        <w:rPr>
          <w:color w:val="auto"/>
        </w:rPr>
        <w:t xml:space="preserve"> atrankai. Mokymų data, vieta ir turinys skelbiami </w:t>
      </w:r>
      <w:r w:rsidR="00515D09" w:rsidRPr="00FB1155">
        <w:rPr>
          <w:color w:val="auto"/>
        </w:rPr>
        <w:t xml:space="preserve">Anykščių miesto savivaldybės interneto svetainėje </w:t>
      </w:r>
      <w:hyperlink r:id="rId14" w:history="1">
        <w:r w:rsidR="003527D5" w:rsidRPr="001A1C40">
          <w:rPr>
            <w:rStyle w:val="Hyperlink"/>
          </w:rPr>
          <w:t>https://www.anyksciai.lt</w:t>
        </w:r>
      </w:hyperlink>
      <w:r w:rsidR="003527D5">
        <w:rPr>
          <w:color w:val="auto"/>
        </w:rPr>
        <w:t xml:space="preserve"> arba (ir) pagal galimybes kitose </w:t>
      </w:r>
      <w:r w:rsidR="003527D5" w:rsidRPr="00FB1155">
        <w:rPr>
          <w:color w:val="auto"/>
        </w:rPr>
        <w:t>interneto svetainė</w:t>
      </w:r>
      <w:r w:rsidR="003527D5">
        <w:rPr>
          <w:color w:val="auto"/>
        </w:rPr>
        <w:t>se</w:t>
      </w:r>
      <w:r w:rsidR="00637D72" w:rsidRPr="00FB1155">
        <w:rPr>
          <w:color w:val="auto"/>
        </w:rPr>
        <w:t xml:space="preserve">. </w:t>
      </w:r>
    </w:p>
    <w:p w14:paraId="41C4C0E4" w14:textId="1EF6DC00" w:rsidR="00637D72" w:rsidRPr="00FB1155" w:rsidRDefault="00637D72" w:rsidP="006D6E25">
      <w:pPr>
        <w:pStyle w:val="Default"/>
        <w:numPr>
          <w:ilvl w:val="1"/>
          <w:numId w:val="13"/>
        </w:numPr>
        <w:spacing w:before="120" w:after="120"/>
        <w:jc w:val="both"/>
        <w:rPr>
          <w:color w:val="auto"/>
        </w:rPr>
      </w:pPr>
      <w:r w:rsidRPr="00FB1155">
        <w:rPr>
          <w:color w:val="auto"/>
        </w:rPr>
        <w:t xml:space="preserve">Projektinių pasiūlymų rengėjai, visą </w:t>
      </w:r>
      <w:r w:rsidR="006D6E25" w:rsidRPr="00FB1155">
        <w:rPr>
          <w:color w:val="auto"/>
        </w:rPr>
        <w:t xml:space="preserve">Strategijos įgyvendinimo </w:t>
      </w:r>
      <w:r w:rsidR="00515D09" w:rsidRPr="00FB1155">
        <w:rPr>
          <w:color w:val="auto"/>
        </w:rPr>
        <w:t xml:space="preserve">aprašo </w:t>
      </w:r>
      <w:r w:rsidRPr="00FB1155">
        <w:rPr>
          <w:color w:val="auto"/>
        </w:rPr>
        <w:t xml:space="preserve">8 punkte nurodytą Kvietimo atrankai teikimo laikotarpį, raštu, elektroniniu paštu, žodžiu gali pateikti </w:t>
      </w:r>
      <w:r w:rsidR="001B795F" w:rsidRPr="00FB1155">
        <w:rPr>
          <w:color w:val="auto"/>
        </w:rPr>
        <w:t>Anykščių</w:t>
      </w:r>
      <w:r w:rsidR="00515D09" w:rsidRPr="00FB1155">
        <w:rPr>
          <w:color w:val="auto"/>
        </w:rPr>
        <w:t xml:space="preserve"> miesto</w:t>
      </w:r>
      <w:r w:rsidRPr="00FB1155">
        <w:rPr>
          <w:color w:val="auto"/>
        </w:rPr>
        <w:t xml:space="preserve"> VVG klausimus dėl dalyvavimo Projektinių pasiūlymų konkurse, atrankos tvarkos ir sąlygų, paraiškos pildymo, informavimo apie projektą veiksmų taikymo ir kitus su Kvietimu atrankai susijusius klausimus. </w:t>
      </w:r>
    </w:p>
    <w:p w14:paraId="3428B588" w14:textId="755990A2" w:rsidR="00637D72" w:rsidRPr="00FB1155" w:rsidRDefault="001B795F" w:rsidP="00CA3F5A">
      <w:pPr>
        <w:pStyle w:val="Default"/>
        <w:numPr>
          <w:ilvl w:val="1"/>
          <w:numId w:val="13"/>
        </w:numPr>
        <w:spacing w:before="120" w:after="120"/>
        <w:jc w:val="both"/>
        <w:rPr>
          <w:color w:val="auto"/>
        </w:rPr>
      </w:pPr>
      <w:r w:rsidRPr="00FB1155">
        <w:rPr>
          <w:color w:val="auto"/>
        </w:rPr>
        <w:t>Anykščių</w:t>
      </w:r>
      <w:r w:rsidR="00515D09" w:rsidRPr="00FB1155">
        <w:rPr>
          <w:color w:val="auto"/>
        </w:rPr>
        <w:t xml:space="preserve"> miesto</w:t>
      </w:r>
      <w:r w:rsidR="00637D72" w:rsidRPr="00FB1155">
        <w:rPr>
          <w:color w:val="auto"/>
        </w:rPr>
        <w:t xml:space="preserve"> VVG priskirti darbuotojai privalo konsultuoti Projektinių pasiūlymų rengėjus visais su Kvietimu atrankai susijusiais klausimais. Raštu, elektroniniu paštu, telefonu</w:t>
      </w:r>
      <w:r w:rsidR="00515D09" w:rsidRPr="00FB1155">
        <w:rPr>
          <w:color w:val="auto"/>
        </w:rPr>
        <w:t xml:space="preserve">, </w:t>
      </w:r>
      <w:r w:rsidR="00637D72" w:rsidRPr="00FB1155">
        <w:rPr>
          <w:color w:val="auto"/>
        </w:rPr>
        <w:t>į pateiktus klausimus turi būti atsakoma ne vėliau kaip per 2</w:t>
      </w:r>
      <w:r w:rsidR="00ED1EEB">
        <w:rPr>
          <w:color w:val="auto"/>
        </w:rPr>
        <w:t>-5</w:t>
      </w:r>
      <w:r w:rsidR="00637D72" w:rsidRPr="00FB1155">
        <w:rPr>
          <w:color w:val="auto"/>
        </w:rPr>
        <w:t xml:space="preserve"> darbo dienas nuo klausimo gavimo dienos. </w:t>
      </w:r>
    </w:p>
    <w:p w14:paraId="18C8FFEB" w14:textId="1A26D594" w:rsidR="00637D72" w:rsidRPr="00FB1155" w:rsidRDefault="001B795F" w:rsidP="00CA3F5A">
      <w:pPr>
        <w:pStyle w:val="Default"/>
        <w:numPr>
          <w:ilvl w:val="0"/>
          <w:numId w:val="7"/>
        </w:numPr>
        <w:spacing w:before="120" w:after="120"/>
        <w:jc w:val="both"/>
        <w:rPr>
          <w:color w:val="auto"/>
        </w:rPr>
      </w:pPr>
      <w:r w:rsidRPr="00FB1155">
        <w:rPr>
          <w:color w:val="auto"/>
        </w:rPr>
        <w:t>Anykščių</w:t>
      </w:r>
      <w:r w:rsidR="00515D09" w:rsidRPr="00FB1155">
        <w:rPr>
          <w:color w:val="auto"/>
        </w:rPr>
        <w:t xml:space="preserve"> miesto</w:t>
      </w:r>
      <w:r w:rsidR="00637D72" w:rsidRPr="00FB1155">
        <w:rPr>
          <w:color w:val="auto"/>
        </w:rPr>
        <w:t xml:space="preserve"> VVG gali skelbti papildomus Kvietimus atrankai teikti rezervinius Projektinius pasiūlymus. Kvietime turi būti aiškiai nurodyt</w:t>
      </w:r>
      <w:r w:rsidR="00515D09" w:rsidRPr="00FB1155">
        <w:rPr>
          <w:color w:val="auto"/>
        </w:rPr>
        <w:t>a, kad priimami tokie P</w:t>
      </w:r>
      <w:r w:rsidR="00637D72" w:rsidRPr="00FB1155">
        <w:rPr>
          <w:color w:val="auto"/>
        </w:rPr>
        <w:t xml:space="preserve">rojektiniai pasiūlymai, kuriems finansuoti </w:t>
      </w:r>
      <w:r w:rsidR="00515D09" w:rsidRPr="00FB1155">
        <w:rPr>
          <w:color w:val="auto"/>
        </w:rPr>
        <w:t>S</w:t>
      </w:r>
      <w:r w:rsidR="00637D72" w:rsidRPr="00FB1155">
        <w:rPr>
          <w:color w:val="auto"/>
        </w:rPr>
        <w:t xml:space="preserve">trategijoje lėšų nėra. </w:t>
      </w:r>
    </w:p>
    <w:p w14:paraId="375861FB" w14:textId="1E32AE10" w:rsidR="00637D72" w:rsidRPr="00FB1155" w:rsidRDefault="00F37799" w:rsidP="00A542CB">
      <w:pPr>
        <w:pStyle w:val="Heading2"/>
        <w:ind w:left="426" w:hanging="432"/>
        <w:rPr>
          <w:rFonts w:ascii="Times New Roman" w:hAnsi="Times New Roman"/>
          <w:szCs w:val="24"/>
        </w:rPr>
      </w:pPr>
      <w:bookmarkStart w:id="9" w:name="_Toc484547345"/>
      <w:r w:rsidRPr="00FB1155">
        <w:rPr>
          <w:rFonts w:ascii="Times New Roman" w:hAnsi="Times New Roman"/>
          <w:szCs w:val="24"/>
        </w:rPr>
        <w:t>III</w:t>
      </w:r>
      <w:r w:rsidR="00637D72" w:rsidRPr="00FB1155">
        <w:rPr>
          <w:rFonts w:ascii="Times New Roman" w:hAnsi="Times New Roman"/>
          <w:szCs w:val="24"/>
        </w:rPr>
        <w:t xml:space="preserve"> </w:t>
      </w:r>
      <w:r w:rsidRPr="00FB1155">
        <w:rPr>
          <w:rFonts w:ascii="Times New Roman" w:hAnsi="Times New Roman"/>
          <w:szCs w:val="24"/>
        </w:rPr>
        <w:t>Skirsnis</w:t>
      </w:r>
      <w:r w:rsidR="00A542CB" w:rsidRPr="00FB1155">
        <w:rPr>
          <w:rFonts w:ascii="Times New Roman" w:hAnsi="Times New Roman"/>
          <w:szCs w:val="24"/>
        </w:rPr>
        <w:t>.</w:t>
      </w:r>
      <w:r w:rsidR="00637D72" w:rsidRPr="00FB1155">
        <w:rPr>
          <w:rFonts w:ascii="Times New Roman" w:hAnsi="Times New Roman"/>
          <w:szCs w:val="24"/>
        </w:rPr>
        <w:t xml:space="preserve"> </w:t>
      </w:r>
      <w:r w:rsidR="00A542CB" w:rsidRPr="00FB1155">
        <w:rPr>
          <w:rFonts w:ascii="Times New Roman" w:hAnsi="Times New Roman"/>
          <w:szCs w:val="24"/>
        </w:rPr>
        <w:t>Projektinių pasiūlymų vertinimas</w:t>
      </w:r>
      <w:bookmarkEnd w:id="9"/>
    </w:p>
    <w:p w14:paraId="63EAD05C" w14:textId="23711200" w:rsidR="00BD427D" w:rsidRPr="00FB1155" w:rsidRDefault="001B795F" w:rsidP="006D6E25">
      <w:pPr>
        <w:pStyle w:val="Default"/>
        <w:numPr>
          <w:ilvl w:val="0"/>
          <w:numId w:val="7"/>
        </w:numPr>
        <w:spacing w:before="120" w:after="120"/>
        <w:jc w:val="both"/>
        <w:rPr>
          <w:color w:val="auto"/>
        </w:rPr>
      </w:pPr>
      <w:r w:rsidRPr="00FB1155">
        <w:rPr>
          <w:color w:val="auto"/>
        </w:rPr>
        <w:t>Anykščių</w:t>
      </w:r>
      <w:r w:rsidR="00BD427D" w:rsidRPr="00FB1155">
        <w:rPr>
          <w:color w:val="auto"/>
        </w:rPr>
        <w:t xml:space="preserve"> miesto</w:t>
      </w:r>
      <w:r w:rsidR="00637D72" w:rsidRPr="00FB1155">
        <w:rPr>
          <w:color w:val="auto"/>
        </w:rPr>
        <w:t xml:space="preserve"> VVG, </w:t>
      </w:r>
      <w:r w:rsidR="006D6E25" w:rsidRPr="00FB1155">
        <w:rPr>
          <w:color w:val="auto"/>
        </w:rPr>
        <w:t xml:space="preserve">Strategijos įgyvendinimo </w:t>
      </w:r>
      <w:r w:rsidR="00BD427D" w:rsidRPr="00FB1155">
        <w:rPr>
          <w:color w:val="auto"/>
        </w:rPr>
        <w:t xml:space="preserve">aprašo </w:t>
      </w:r>
      <w:r w:rsidR="00637D72" w:rsidRPr="00FB1155">
        <w:rPr>
          <w:color w:val="auto"/>
        </w:rPr>
        <w:t xml:space="preserve">8 punkte nurodytu Kvietimo atrankai laikotarpiu arba jam pasibaigus, gautą Projektinį pasiūlymą užregistruoja </w:t>
      </w:r>
      <w:r w:rsidRPr="00FB1155">
        <w:rPr>
          <w:color w:val="auto"/>
        </w:rPr>
        <w:t>Anykščių</w:t>
      </w:r>
      <w:r w:rsidR="00BD427D" w:rsidRPr="00FB1155">
        <w:rPr>
          <w:color w:val="auto"/>
        </w:rPr>
        <w:t xml:space="preserve"> miesto</w:t>
      </w:r>
      <w:r w:rsidR="00637D72" w:rsidRPr="00FB1155">
        <w:rPr>
          <w:color w:val="auto"/>
        </w:rPr>
        <w:t xml:space="preserve"> VVG Projektinių pasiūlymų registre, nurodydama gavimo datą, laiką ir pradeda Projektinio pasiūlymo vertinimą. </w:t>
      </w:r>
    </w:p>
    <w:p w14:paraId="129D6187" w14:textId="4CE86E3C" w:rsidR="00637D72" w:rsidRPr="00FB1155" w:rsidRDefault="00637D72" w:rsidP="000324BD">
      <w:pPr>
        <w:pStyle w:val="Default"/>
        <w:numPr>
          <w:ilvl w:val="0"/>
          <w:numId w:val="7"/>
        </w:numPr>
        <w:spacing w:before="120" w:after="120"/>
        <w:jc w:val="both"/>
        <w:rPr>
          <w:color w:val="auto"/>
        </w:rPr>
      </w:pPr>
      <w:r w:rsidRPr="00FB1155">
        <w:rPr>
          <w:color w:val="auto"/>
        </w:rPr>
        <w:t xml:space="preserve">Projektinius pasiūlymus vertina ne mažiau kaip du </w:t>
      </w:r>
      <w:r w:rsidR="00BD427D" w:rsidRPr="00FB1155">
        <w:rPr>
          <w:color w:val="auto"/>
        </w:rPr>
        <w:t xml:space="preserve">Anykščių </w:t>
      </w:r>
      <w:r w:rsidRPr="00FB1155">
        <w:rPr>
          <w:color w:val="auto"/>
        </w:rPr>
        <w:t>miesto VVG paskirti vietos plėtros projektų vertintojai (toliau – Vertintojai</w:t>
      </w:r>
      <w:r w:rsidR="008456F8" w:rsidRPr="00FB1155">
        <w:rPr>
          <w:color w:val="auto"/>
        </w:rPr>
        <w:t>). Gautų P</w:t>
      </w:r>
      <w:r w:rsidRPr="00FB1155">
        <w:rPr>
          <w:color w:val="auto"/>
        </w:rPr>
        <w:t xml:space="preserve">rojektinių pasiūlymų vertinimui </w:t>
      </w:r>
      <w:r w:rsidR="001B795F" w:rsidRPr="00FB1155">
        <w:rPr>
          <w:color w:val="auto"/>
        </w:rPr>
        <w:t>Anykščių</w:t>
      </w:r>
      <w:r w:rsidR="00BD427D" w:rsidRPr="00FB1155">
        <w:rPr>
          <w:color w:val="auto"/>
        </w:rPr>
        <w:t xml:space="preserve"> miesto</w:t>
      </w:r>
      <w:r w:rsidRPr="00FB1155">
        <w:rPr>
          <w:color w:val="auto"/>
        </w:rPr>
        <w:t xml:space="preserve"> VVG gali pasitelkti kitus specialistus, ekspertus. </w:t>
      </w:r>
      <w:r w:rsidR="00D07BF0" w:rsidRPr="00FB1155">
        <w:rPr>
          <w:color w:val="auto"/>
        </w:rPr>
        <w:t>Asociacijos</w:t>
      </w:r>
      <w:r w:rsidRPr="00FB1155">
        <w:rPr>
          <w:color w:val="auto"/>
        </w:rPr>
        <w:t xml:space="preserve"> valdybos nariai </w:t>
      </w:r>
      <w:r w:rsidRPr="00FB1155">
        <w:rPr>
          <w:color w:val="auto"/>
        </w:rPr>
        <w:lastRenderedPageBreak/>
        <w:t>negali būti skiriami Vertintojais. Prieš atlikdamas vertinimą, Vertintojas turi patvirtinti savo konfidencialumą ir nešališkumą, pasirašydamas konfidencialumo ir nešališkumo deklaraciją (</w:t>
      </w:r>
      <w:r w:rsidR="000324BD" w:rsidRPr="00FB1155">
        <w:rPr>
          <w:color w:val="auto"/>
        </w:rPr>
        <w:t xml:space="preserve">Strategijos įgyvendinimo aprašo </w:t>
      </w:r>
      <w:r w:rsidRPr="00FB1155">
        <w:rPr>
          <w:color w:val="auto"/>
        </w:rPr>
        <w:t>7 priedas</w:t>
      </w:r>
      <w:r w:rsidR="0064350A" w:rsidRPr="00FB1155">
        <w:rPr>
          <w:color w:val="auto"/>
        </w:rPr>
        <w:t xml:space="preserve"> „Konfidencialumo ir nešališkumo deklaracijos forma“</w:t>
      </w:r>
      <w:r w:rsidRPr="00FB1155">
        <w:rPr>
          <w:color w:val="auto"/>
        </w:rPr>
        <w:t xml:space="preserve">), kuria įsipareigoja būti nešališkas, laikytis konfidencialumo ir nesukelti interesų konflikto. </w:t>
      </w:r>
    </w:p>
    <w:p w14:paraId="3AB3425F" w14:textId="76B632F2" w:rsidR="00637D72" w:rsidRPr="00FB1155" w:rsidRDefault="00637D72" w:rsidP="00AC2038">
      <w:pPr>
        <w:pStyle w:val="Default"/>
        <w:numPr>
          <w:ilvl w:val="0"/>
          <w:numId w:val="7"/>
        </w:numPr>
        <w:spacing w:before="120" w:after="120"/>
        <w:jc w:val="both"/>
        <w:rPr>
          <w:color w:val="auto"/>
        </w:rPr>
      </w:pPr>
      <w:r w:rsidRPr="00FB1155">
        <w:rPr>
          <w:color w:val="auto"/>
        </w:rPr>
        <w:t xml:space="preserve">Projektiniai pasiūlymai vertinami vadovaujantis Kvietime atrankai nurodytais atrankos kriterijais, jų vertinimo balais, </w:t>
      </w:r>
      <w:r w:rsidR="00623858" w:rsidRPr="00FB1155">
        <w:rPr>
          <w:color w:val="auto"/>
        </w:rPr>
        <w:t>Vertinimo ir atrankos aprašu</w:t>
      </w:r>
      <w:r w:rsidR="006D6E25" w:rsidRPr="00FB1155">
        <w:rPr>
          <w:color w:val="auto"/>
        </w:rPr>
        <w:t xml:space="preserve"> ir </w:t>
      </w:r>
      <w:r w:rsidR="006D6E25" w:rsidRPr="00FB1155">
        <w:t>Strategijos įgyvendinimo aprašu</w:t>
      </w:r>
      <w:r w:rsidRPr="00FB1155">
        <w:rPr>
          <w:color w:val="auto"/>
        </w:rPr>
        <w:t xml:space="preserve">. Vertintojai rengia ir </w:t>
      </w:r>
      <w:r w:rsidR="00D07BF0" w:rsidRPr="00FB1155">
        <w:rPr>
          <w:color w:val="auto"/>
        </w:rPr>
        <w:t>Asociacijos</w:t>
      </w:r>
      <w:r w:rsidRPr="00FB1155">
        <w:rPr>
          <w:color w:val="auto"/>
        </w:rPr>
        <w:t xml:space="preserve"> valdybai, ne vėliau kaip 2 mėn. nuo Kvietimo atrankai termino pabaigos, teikia Projektinių pasiūlymų vertinimo išvadas. </w:t>
      </w:r>
    </w:p>
    <w:p w14:paraId="0A06178C" w14:textId="74B59476" w:rsidR="00637D72" w:rsidRPr="00FB1155" w:rsidRDefault="00637D72" w:rsidP="00623858">
      <w:pPr>
        <w:pStyle w:val="Default"/>
        <w:numPr>
          <w:ilvl w:val="0"/>
          <w:numId w:val="7"/>
        </w:numPr>
        <w:spacing w:before="120" w:after="120"/>
        <w:jc w:val="both"/>
        <w:rPr>
          <w:color w:val="auto"/>
        </w:rPr>
      </w:pPr>
      <w:r w:rsidRPr="00FB1155">
        <w:rPr>
          <w:color w:val="auto"/>
        </w:rPr>
        <w:t xml:space="preserve">Už Projektinių pasiūlymų vertinimo ir vertinimo išvadų kokybę atsako </w:t>
      </w:r>
      <w:r w:rsidR="001B795F" w:rsidRPr="00FB1155">
        <w:rPr>
          <w:color w:val="auto"/>
        </w:rPr>
        <w:t>Anykščių</w:t>
      </w:r>
      <w:r w:rsidR="00623858" w:rsidRPr="00FB1155">
        <w:rPr>
          <w:color w:val="auto"/>
        </w:rPr>
        <w:t xml:space="preserve"> miesto</w:t>
      </w:r>
      <w:r w:rsidRPr="00FB1155">
        <w:rPr>
          <w:color w:val="auto"/>
        </w:rPr>
        <w:t xml:space="preserve"> VVG. </w:t>
      </w:r>
    </w:p>
    <w:p w14:paraId="26C211F4" w14:textId="68E35412" w:rsidR="00637D72" w:rsidRPr="00FB1155" w:rsidRDefault="00637D72" w:rsidP="00623858">
      <w:pPr>
        <w:pStyle w:val="Default"/>
        <w:numPr>
          <w:ilvl w:val="0"/>
          <w:numId w:val="7"/>
        </w:numPr>
        <w:spacing w:before="120" w:after="120"/>
        <w:jc w:val="both"/>
        <w:rPr>
          <w:color w:val="auto"/>
        </w:rPr>
      </w:pPr>
      <w:r w:rsidRPr="00FB1155">
        <w:rPr>
          <w:color w:val="auto"/>
        </w:rPr>
        <w:t xml:space="preserve">Projektinių pasiūlymų vertinimo metu Vertintojas </w:t>
      </w:r>
      <w:r w:rsidR="00CD7FB3">
        <w:rPr>
          <w:color w:val="auto"/>
        </w:rPr>
        <w:t>ir VVG atstovai arba į</w:t>
      </w:r>
      <w:r w:rsidR="000E30B1">
        <w:rPr>
          <w:color w:val="auto"/>
        </w:rPr>
        <w:t xml:space="preserve">galioti asmenys </w:t>
      </w:r>
      <w:r w:rsidRPr="00FB1155">
        <w:rPr>
          <w:color w:val="auto"/>
        </w:rPr>
        <w:t xml:space="preserve">gali atlikti Projektinio pasiūlymo patikrą vietoje. </w:t>
      </w:r>
    </w:p>
    <w:p w14:paraId="68ADD0BA" w14:textId="77777777" w:rsidR="004151C1" w:rsidRPr="00FB1155" w:rsidRDefault="00637D72" w:rsidP="004151C1">
      <w:pPr>
        <w:pStyle w:val="Default"/>
        <w:numPr>
          <w:ilvl w:val="0"/>
          <w:numId w:val="7"/>
        </w:numPr>
        <w:spacing w:before="120" w:after="120"/>
        <w:jc w:val="both"/>
        <w:rPr>
          <w:color w:val="auto"/>
        </w:rPr>
      </w:pPr>
      <w:r w:rsidRPr="00FB1155">
        <w:rPr>
          <w:color w:val="auto"/>
        </w:rPr>
        <w:t>Projekti</w:t>
      </w:r>
      <w:r w:rsidR="00623858" w:rsidRPr="00FB1155">
        <w:rPr>
          <w:color w:val="auto"/>
        </w:rPr>
        <w:t>nio pasiūlymo vertinimo etapai:</w:t>
      </w:r>
    </w:p>
    <w:p w14:paraId="1DCC7D10" w14:textId="6B30EF6B" w:rsidR="00623858" w:rsidRPr="00FB1155" w:rsidRDefault="00637D72" w:rsidP="004151C1">
      <w:pPr>
        <w:pStyle w:val="Default"/>
        <w:numPr>
          <w:ilvl w:val="1"/>
          <w:numId w:val="20"/>
        </w:numPr>
        <w:spacing w:before="120" w:after="120"/>
        <w:jc w:val="both"/>
        <w:rPr>
          <w:color w:val="auto"/>
        </w:rPr>
      </w:pPr>
      <w:r w:rsidRPr="00FB1155">
        <w:rPr>
          <w:color w:val="auto"/>
        </w:rPr>
        <w:t>adminis</w:t>
      </w:r>
      <w:r w:rsidR="00623858" w:rsidRPr="00FB1155">
        <w:rPr>
          <w:color w:val="auto"/>
        </w:rPr>
        <w:t>tracinės atitikties vertinimas;</w:t>
      </w:r>
    </w:p>
    <w:p w14:paraId="646CA199" w14:textId="707F3866" w:rsidR="00637D72" w:rsidRPr="00FB1155" w:rsidRDefault="00637D72" w:rsidP="004151C1">
      <w:pPr>
        <w:pStyle w:val="Default"/>
        <w:numPr>
          <w:ilvl w:val="1"/>
          <w:numId w:val="20"/>
        </w:numPr>
        <w:spacing w:before="120" w:after="120"/>
        <w:jc w:val="both"/>
        <w:rPr>
          <w:color w:val="auto"/>
        </w:rPr>
      </w:pPr>
      <w:r w:rsidRPr="00FB1155">
        <w:rPr>
          <w:color w:val="auto"/>
        </w:rPr>
        <w:t xml:space="preserve">naudos ir kokybės vertinimas; </w:t>
      </w:r>
    </w:p>
    <w:p w14:paraId="36804758" w14:textId="262F78F6" w:rsidR="00637D72" w:rsidRPr="00FB1155" w:rsidRDefault="00637D72" w:rsidP="000324BD">
      <w:pPr>
        <w:pStyle w:val="Default"/>
        <w:numPr>
          <w:ilvl w:val="1"/>
          <w:numId w:val="20"/>
        </w:numPr>
        <w:spacing w:before="120" w:after="120"/>
        <w:jc w:val="both"/>
        <w:rPr>
          <w:color w:val="auto"/>
        </w:rPr>
      </w:pPr>
      <w:r w:rsidRPr="00FB1155">
        <w:rPr>
          <w:color w:val="auto"/>
        </w:rPr>
        <w:t>vertinimo išvadų parengimas (</w:t>
      </w:r>
      <w:r w:rsidR="00EC29E8" w:rsidRPr="00FB1155">
        <w:rPr>
          <w:color w:val="auto"/>
        </w:rPr>
        <w:t xml:space="preserve">forma pateikta </w:t>
      </w:r>
      <w:r w:rsidR="000324BD" w:rsidRPr="00FB1155">
        <w:rPr>
          <w:color w:val="auto"/>
        </w:rPr>
        <w:t xml:space="preserve">Strategijos įgyvendinimo aprašo </w:t>
      </w:r>
      <w:r w:rsidR="002F7CE1" w:rsidRPr="00FB1155">
        <w:rPr>
          <w:color w:val="auto"/>
        </w:rPr>
        <w:t>3 priede „</w:t>
      </w:r>
      <w:r w:rsidR="00463781" w:rsidRPr="00FB1155">
        <w:rPr>
          <w:color w:val="auto"/>
        </w:rPr>
        <w:t>P</w:t>
      </w:r>
      <w:r w:rsidR="002F7CE1" w:rsidRPr="00FB1155">
        <w:rPr>
          <w:color w:val="auto"/>
        </w:rPr>
        <w:t xml:space="preserve">rojektinio pasiūlymo </w:t>
      </w:r>
      <w:r w:rsidR="00FE3B70" w:rsidRPr="00FB1155">
        <w:rPr>
          <w:color w:val="auto"/>
        </w:rPr>
        <w:t>vertinimo išvados forma</w:t>
      </w:r>
      <w:r w:rsidR="002F7CE1" w:rsidRPr="00FB1155">
        <w:rPr>
          <w:color w:val="auto"/>
        </w:rPr>
        <w:t>“</w:t>
      </w:r>
      <w:r w:rsidR="00EC29E8" w:rsidRPr="00FB1155">
        <w:rPr>
          <w:color w:val="auto"/>
        </w:rPr>
        <w:t>)</w:t>
      </w:r>
      <w:r w:rsidR="007E53E6" w:rsidRPr="00FB1155">
        <w:rPr>
          <w:color w:val="auto"/>
        </w:rPr>
        <w:t xml:space="preserve"> (toliau – Išvada dėl vietos plėtros projekto</w:t>
      </w:r>
      <w:r w:rsidRPr="00FB1155">
        <w:rPr>
          <w:color w:val="auto"/>
        </w:rPr>
        <w:t xml:space="preserve">). </w:t>
      </w:r>
    </w:p>
    <w:p w14:paraId="723DCFDC" w14:textId="689955DE" w:rsidR="00637D72" w:rsidRPr="00FB1155" w:rsidRDefault="00637D72" w:rsidP="00623858">
      <w:pPr>
        <w:pStyle w:val="Default"/>
        <w:numPr>
          <w:ilvl w:val="0"/>
          <w:numId w:val="7"/>
        </w:numPr>
        <w:spacing w:before="120" w:after="120"/>
        <w:jc w:val="both"/>
        <w:rPr>
          <w:color w:val="auto"/>
        </w:rPr>
      </w:pPr>
      <w:r w:rsidRPr="00FB1155">
        <w:rPr>
          <w:color w:val="auto"/>
        </w:rPr>
        <w:t xml:space="preserve">Administracinės atitikties vertinimo metu Vertintojas patikrina, ar Projektinio pasiūlymo visi laukai užpildyti, ar pridėti visi Projektinio pasiūlymo formoje nurodyti dokumentai. </w:t>
      </w:r>
    </w:p>
    <w:p w14:paraId="485C2368" w14:textId="2A84F866" w:rsidR="00637D72" w:rsidRPr="00FB1155" w:rsidRDefault="00637D72" w:rsidP="006D6E25">
      <w:pPr>
        <w:pStyle w:val="Default"/>
        <w:numPr>
          <w:ilvl w:val="0"/>
          <w:numId w:val="7"/>
        </w:numPr>
        <w:spacing w:before="120" w:after="120"/>
        <w:jc w:val="both"/>
        <w:rPr>
          <w:color w:val="auto"/>
        </w:rPr>
      </w:pPr>
      <w:r w:rsidRPr="00FB1155">
        <w:rPr>
          <w:color w:val="auto"/>
        </w:rPr>
        <w:t xml:space="preserve">Naudos ir kokybės vertinimą Vertintojas atlieka pagal </w:t>
      </w:r>
      <w:r w:rsidR="006D6E25" w:rsidRPr="00FB1155">
        <w:rPr>
          <w:color w:val="auto"/>
        </w:rPr>
        <w:t xml:space="preserve">Strategijos įgyvendinimo </w:t>
      </w:r>
      <w:r w:rsidR="00623858" w:rsidRPr="00FB1155">
        <w:rPr>
          <w:color w:val="auto"/>
        </w:rPr>
        <w:t xml:space="preserve">apraše </w:t>
      </w:r>
      <w:r w:rsidRPr="00FB1155">
        <w:rPr>
          <w:color w:val="auto"/>
        </w:rPr>
        <w:t xml:space="preserve">nurodytus reikalavimus, Atrankos kriterijus, jų vertinimo balus. </w:t>
      </w:r>
    </w:p>
    <w:p w14:paraId="0AE92F72" w14:textId="18EE6BBA" w:rsidR="00623858" w:rsidRPr="00FB1155" w:rsidRDefault="00637D72" w:rsidP="001B795F">
      <w:pPr>
        <w:pStyle w:val="Default"/>
        <w:numPr>
          <w:ilvl w:val="0"/>
          <w:numId w:val="7"/>
        </w:numPr>
        <w:spacing w:before="120" w:after="120"/>
        <w:jc w:val="both"/>
        <w:rPr>
          <w:color w:val="auto"/>
        </w:rPr>
      </w:pPr>
      <w:r w:rsidRPr="00FB1155">
        <w:rPr>
          <w:color w:val="auto"/>
        </w:rPr>
        <w:t xml:space="preserve">Tuo atveju, jei Projektiniam pasiūlymui vertinti trūksta informacijos, duomenų ar Projektiniame pasiūlyme yra netikslumų, Vertintojai turi </w:t>
      </w:r>
      <w:r w:rsidR="00F92C0E">
        <w:rPr>
          <w:color w:val="auto"/>
        </w:rPr>
        <w:t xml:space="preserve">informuoti Anykščių miesto VVG, kuri turi </w:t>
      </w:r>
      <w:r w:rsidRPr="00FB1155">
        <w:rPr>
          <w:color w:val="auto"/>
        </w:rPr>
        <w:t xml:space="preserve">teisę raštu ar elektroniniu paštu Projektinio pasiūlymo rengėją paprašyti paaiškinti, papildyti ar patikslinti Projektiniame pasiūlyme pateiktą informaciją ir nustatyti terminą prašomai informacijai pateikti, kuris negali būti trumpesnis kaip 4 darbo dienos: </w:t>
      </w:r>
    </w:p>
    <w:p w14:paraId="20946E43" w14:textId="2F75A03B" w:rsidR="00637D72" w:rsidRPr="00FB1155" w:rsidRDefault="00623858" w:rsidP="00623858">
      <w:pPr>
        <w:pStyle w:val="Default"/>
        <w:numPr>
          <w:ilvl w:val="1"/>
          <w:numId w:val="17"/>
        </w:numPr>
        <w:spacing w:before="120" w:after="120"/>
        <w:jc w:val="both"/>
        <w:rPr>
          <w:color w:val="auto"/>
        </w:rPr>
      </w:pPr>
      <w:r w:rsidRPr="00FB1155">
        <w:rPr>
          <w:color w:val="auto"/>
        </w:rPr>
        <w:t>g</w:t>
      </w:r>
      <w:r w:rsidR="00637D72" w:rsidRPr="00FB1155">
        <w:rPr>
          <w:color w:val="auto"/>
        </w:rPr>
        <w:t>avus prašomą inf</w:t>
      </w:r>
      <w:r w:rsidR="004151C1" w:rsidRPr="00FB1155">
        <w:rPr>
          <w:color w:val="auto"/>
        </w:rPr>
        <w:t>ormaciją per nurodytą terminą, P</w:t>
      </w:r>
      <w:r w:rsidR="00637D72" w:rsidRPr="00FB1155">
        <w:rPr>
          <w:color w:val="auto"/>
        </w:rPr>
        <w:t>rojektinio pasiūlymo</w:t>
      </w:r>
      <w:r w:rsidR="00F92C0E">
        <w:rPr>
          <w:color w:val="auto"/>
        </w:rPr>
        <w:t xml:space="preserve"> rengėjas turi pateikti prašomą papildomą informacija ar dokumentus</w:t>
      </w:r>
      <w:r w:rsidR="00637D72" w:rsidRPr="00FB1155">
        <w:rPr>
          <w:color w:val="auto"/>
        </w:rPr>
        <w:t xml:space="preserve"> </w:t>
      </w:r>
      <w:r w:rsidR="00F92C0E">
        <w:rPr>
          <w:color w:val="auto"/>
        </w:rPr>
        <w:t>ir pagal pastabas patikslintą Projektinį pasiūlymą</w:t>
      </w:r>
      <w:r w:rsidR="00637D72" w:rsidRPr="00FB1155">
        <w:rPr>
          <w:color w:val="auto"/>
        </w:rPr>
        <w:t xml:space="preserve">; </w:t>
      </w:r>
    </w:p>
    <w:p w14:paraId="7956CE56" w14:textId="524EEA0B" w:rsidR="00637D72" w:rsidRPr="00FB1155" w:rsidRDefault="00637D72" w:rsidP="00623858">
      <w:pPr>
        <w:pStyle w:val="Default"/>
        <w:numPr>
          <w:ilvl w:val="1"/>
          <w:numId w:val="17"/>
        </w:numPr>
        <w:spacing w:before="120" w:after="120"/>
        <w:jc w:val="both"/>
        <w:rPr>
          <w:color w:val="auto"/>
        </w:rPr>
      </w:pPr>
      <w:r w:rsidRPr="00FB1155">
        <w:rPr>
          <w:color w:val="auto"/>
        </w:rPr>
        <w:t>nepateikus prašomos info</w:t>
      </w:r>
      <w:r w:rsidR="004151C1" w:rsidRPr="00FB1155">
        <w:rPr>
          <w:color w:val="auto"/>
        </w:rPr>
        <w:t>rmacijos per nurodytą terminą, P</w:t>
      </w:r>
      <w:r w:rsidRPr="00FB1155">
        <w:rPr>
          <w:color w:val="auto"/>
        </w:rPr>
        <w:t>rojektinio pasiūlymo lėš</w:t>
      </w:r>
      <w:r w:rsidR="008456F8" w:rsidRPr="00FB1155">
        <w:rPr>
          <w:color w:val="auto"/>
        </w:rPr>
        <w:t>ų suma gali būti mažinama arba P</w:t>
      </w:r>
      <w:r w:rsidRPr="00FB1155">
        <w:rPr>
          <w:color w:val="auto"/>
        </w:rPr>
        <w:t xml:space="preserve">rojektinis pasiūlymas atmetamas. Projektinių pasiūlymų pareiškėjai, nesutikdami su </w:t>
      </w:r>
      <w:r w:rsidR="001B795F" w:rsidRPr="00FB1155">
        <w:rPr>
          <w:color w:val="auto"/>
        </w:rPr>
        <w:t>Anykščių</w:t>
      </w:r>
      <w:r w:rsidR="004151C1" w:rsidRPr="00FB1155">
        <w:rPr>
          <w:color w:val="auto"/>
        </w:rPr>
        <w:t xml:space="preserve"> miesto</w:t>
      </w:r>
      <w:r w:rsidRPr="00FB1155">
        <w:rPr>
          <w:color w:val="auto"/>
        </w:rPr>
        <w:t xml:space="preserve"> VVG priimtais sprendimais, turi teisę apskųsti teisės aktų nustatyta tvarka ne vėliau kaip per 14 dienų nuo tos dienos, kai pareiškėjas sužinojo ar turėjo s</w:t>
      </w:r>
      <w:r w:rsidR="004151C1" w:rsidRPr="00FB1155">
        <w:rPr>
          <w:color w:val="auto"/>
        </w:rPr>
        <w:t>užinoti apie priimtą sprendimą.</w:t>
      </w:r>
    </w:p>
    <w:p w14:paraId="58F67644" w14:textId="3CE29CDA" w:rsidR="00637D72" w:rsidRPr="00FB1155" w:rsidRDefault="00637D72" w:rsidP="006D6E25">
      <w:pPr>
        <w:pStyle w:val="Default"/>
        <w:numPr>
          <w:ilvl w:val="0"/>
          <w:numId w:val="7"/>
        </w:numPr>
        <w:spacing w:before="120" w:after="120"/>
        <w:jc w:val="both"/>
        <w:rPr>
          <w:color w:val="auto"/>
        </w:rPr>
      </w:pPr>
      <w:r w:rsidRPr="00FB1155">
        <w:rPr>
          <w:color w:val="auto"/>
        </w:rPr>
        <w:t xml:space="preserve">Jei vertinant Projektinį pasiūlymą prašoma Projektinio pasiūlymo rengėjo pateikti papildomą informaciją, kaip tai numatyta </w:t>
      </w:r>
      <w:r w:rsidR="006D6E25" w:rsidRPr="00FB1155">
        <w:rPr>
          <w:color w:val="auto"/>
        </w:rPr>
        <w:t xml:space="preserve">Strategijos įgyvendinimo </w:t>
      </w:r>
      <w:r w:rsidR="004151C1" w:rsidRPr="00FB1155">
        <w:rPr>
          <w:color w:val="auto"/>
        </w:rPr>
        <w:t xml:space="preserve">aprašo </w:t>
      </w:r>
      <w:r w:rsidRPr="00FB1155">
        <w:rPr>
          <w:color w:val="auto"/>
        </w:rPr>
        <w:t xml:space="preserve">21 punkte, vertinimo terminas gali būti pratęstas, bet ne ilgiau kaip 5 darbo dienas nuo </w:t>
      </w:r>
      <w:r w:rsidR="006D6E25" w:rsidRPr="00FB1155">
        <w:rPr>
          <w:color w:val="auto"/>
        </w:rPr>
        <w:t xml:space="preserve">Strategijos įgyvendinimo </w:t>
      </w:r>
      <w:r w:rsidR="004151C1" w:rsidRPr="00FB1155">
        <w:rPr>
          <w:color w:val="auto"/>
        </w:rPr>
        <w:t xml:space="preserve">aprašo </w:t>
      </w:r>
      <w:r w:rsidRPr="00FB1155">
        <w:rPr>
          <w:color w:val="auto"/>
        </w:rPr>
        <w:t xml:space="preserve">15 punkte nustatyto Projektinio pasiūlymo vertinimo termino pabaigos. Apie Projektinio pasiūlymo vertinimo termino pratęsimą </w:t>
      </w:r>
      <w:r w:rsidR="001B795F" w:rsidRPr="00FB1155">
        <w:rPr>
          <w:color w:val="auto"/>
        </w:rPr>
        <w:t>Anykščių</w:t>
      </w:r>
      <w:r w:rsidR="004151C1" w:rsidRPr="00FB1155">
        <w:rPr>
          <w:color w:val="auto"/>
        </w:rPr>
        <w:t xml:space="preserve"> miesto</w:t>
      </w:r>
      <w:r w:rsidRPr="00FB1155">
        <w:rPr>
          <w:color w:val="auto"/>
        </w:rPr>
        <w:t xml:space="preserve"> VVG atsakingi darbuotojai turi raštu </w:t>
      </w:r>
      <w:r w:rsidRPr="00FB1155">
        <w:rPr>
          <w:color w:val="auto"/>
        </w:rPr>
        <w:lastRenderedPageBreak/>
        <w:t xml:space="preserve">ar elektroniniu paštu informuoti Projektinio pasiūlymo rengėją ir nurodyti termino pratęsimo priežastis. </w:t>
      </w:r>
    </w:p>
    <w:p w14:paraId="378003F4" w14:textId="29416D31" w:rsidR="00637D72" w:rsidRPr="00FB1155" w:rsidRDefault="00F37799" w:rsidP="00A542CB">
      <w:pPr>
        <w:pStyle w:val="Heading2"/>
        <w:ind w:left="426" w:hanging="432"/>
        <w:rPr>
          <w:rFonts w:ascii="Times New Roman" w:hAnsi="Times New Roman"/>
          <w:szCs w:val="24"/>
        </w:rPr>
      </w:pPr>
      <w:bookmarkStart w:id="10" w:name="_Toc484547346"/>
      <w:r w:rsidRPr="00FB1155">
        <w:rPr>
          <w:rFonts w:ascii="Times New Roman" w:hAnsi="Times New Roman"/>
          <w:szCs w:val="24"/>
        </w:rPr>
        <w:t>IV</w:t>
      </w:r>
      <w:r w:rsidR="00637D72" w:rsidRPr="00FB1155">
        <w:rPr>
          <w:rFonts w:ascii="Times New Roman" w:hAnsi="Times New Roman"/>
          <w:szCs w:val="24"/>
        </w:rPr>
        <w:t xml:space="preserve"> </w:t>
      </w:r>
      <w:r w:rsidRPr="00FB1155">
        <w:rPr>
          <w:rFonts w:ascii="Times New Roman" w:hAnsi="Times New Roman"/>
          <w:szCs w:val="24"/>
        </w:rPr>
        <w:t>Skirsnis</w:t>
      </w:r>
      <w:r w:rsidR="00A542CB" w:rsidRPr="00FB1155">
        <w:rPr>
          <w:rFonts w:ascii="Times New Roman" w:hAnsi="Times New Roman"/>
          <w:szCs w:val="24"/>
        </w:rPr>
        <w:t>. Anykščių miesto VVG vietos plėtros projektų sąrašų sudarymas</w:t>
      </w:r>
      <w:bookmarkEnd w:id="10"/>
    </w:p>
    <w:p w14:paraId="364E7936" w14:textId="4446BCD9" w:rsidR="004151C1" w:rsidRPr="00FB1155" w:rsidRDefault="001B795F" w:rsidP="00AD2B4B">
      <w:pPr>
        <w:pStyle w:val="Default"/>
        <w:numPr>
          <w:ilvl w:val="0"/>
          <w:numId w:val="7"/>
        </w:numPr>
        <w:spacing w:before="120" w:after="120"/>
        <w:jc w:val="both"/>
        <w:rPr>
          <w:color w:val="auto"/>
        </w:rPr>
      </w:pPr>
      <w:r w:rsidRPr="00FB1155">
        <w:rPr>
          <w:color w:val="auto"/>
        </w:rPr>
        <w:t>Anykščių</w:t>
      </w:r>
      <w:r w:rsidR="004151C1" w:rsidRPr="00FB1155">
        <w:rPr>
          <w:color w:val="auto"/>
        </w:rPr>
        <w:t xml:space="preserve"> miesto</w:t>
      </w:r>
      <w:r w:rsidR="00637D72" w:rsidRPr="00FB1155">
        <w:rPr>
          <w:color w:val="auto"/>
        </w:rPr>
        <w:t xml:space="preserve"> VVG, atsižvelgdama į vertinimo išvadą, pagal </w:t>
      </w:r>
      <w:r w:rsidR="000324BD" w:rsidRPr="00FB1155">
        <w:rPr>
          <w:color w:val="auto"/>
        </w:rPr>
        <w:t xml:space="preserve">Strategijos įgyvendinimo aprašo </w:t>
      </w:r>
      <w:r w:rsidR="00637D72" w:rsidRPr="00FB1155">
        <w:rPr>
          <w:color w:val="auto"/>
        </w:rPr>
        <w:t>6 priedą</w:t>
      </w:r>
      <w:r w:rsidR="00E74686" w:rsidRPr="00FB1155">
        <w:t xml:space="preserve"> „</w:t>
      </w:r>
      <w:r w:rsidR="002744D6" w:rsidRPr="00FB1155">
        <w:t>P</w:t>
      </w:r>
      <w:r w:rsidR="00AD2B4B" w:rsidRPr="00FB1155">
        <w:rPr>
          <w:color w:val="auto"/>
        </w:rPr>
        <w:t>rojektų sąrašo forma</w:t>
      </w:r>
      <w:r w:rsidR="00423C69" w:rsidRPr="00FB1155">
        <w:rPr>
          <w:color w:val="auto"/>
        </w:rPr>
        <w:t xml:space="preserve">“ </w:t>
      </w:r>
      <w:r w:rsidR="004151C1" w:rsidRPr="00FB1155">
        <w:rPr>
          <w:color w:val="auto"/>
        </w:rPr>
        <w:t>sudaro:</w:t>
      </w:r>
    </w:p>
    <w:p w14:paraId="599FD5DB" w14:textId="09E51BDD" w:rsidR="004151C1" w:rsidRPr="00FB1155" w:rsidRDefault="00637D72" w:rsidP="004151C1">
      <w:pPr>
        <w:pStyle w:val="Default"/>
        <w:numPr>
          <w:ilvl w:val="1"/>
          <w:numId w:val="19"/>
        </w:numPr>
        <w:spacing w:before="120" w:after="120"/>
        <w:jc w:val="both"/>
        <w:rPr>
          <w:color w:val="auto"/>
        </w:rPr>
      </w:pPr>
      <w:r w:rsidRPr="00FB1155">
        <w:rPr>
          <w:color w:val="auto"/>
        </w:rPr>
        <w:t>siūlomų finansuoti Strategijos įgyvendinimo vietos plėtros projektų sąrašą</w:t>
      </w:r>
      <w:r w:rsidR="0093578E" w:rsidRPr="00FB1155">
        <w:rPr>
          <w:color w:val="auto"/>
        </w:rPr>
        <w:t xml:space="preserve"> (toliau – Projektų sąrašas)</w:t>
      </w:r>
      <w:r w:rsidRPr="00FB1155">
        <w:rPr>
          <w:color w:val="auto"/>
        </w:rPr>
        <w:t>;</w:t>
      </w:r>
    </w:p>
    <w:p w14:paraId="402A03A0" w14:textId="1280B832" w:rsidR="00637D72" w:rsidRPr="00FB1155" w:rsidRDefault="00637D72" w:rsidP="00940451">
      <w:pPr>
        <w:pStyle w:val="Default"/>
        <w:numPr>
          <w:ilvl w:val="1"/>
          <w:numId w:val="19"/>
        </w:numPr>
        <w:spacing w:before="120" w:after="120"/>
        <w:jc w:val="both"/>
        <w:rPr>
          <w:color w:val="auto"/>
        </w:rPr>
      </w:pPr>
      <w:r w:rsidRPr="00FB1155">
        <w:rPr>
          <w:color w:val="auto"/>
        </w:rPr>
        <w:t>rezervinį Strategij</w:t>
      </w:r>
      <w:r w:rsidR="008456F8" w:rsidRPr="00FB1155">
        <w:rPr>
          <w:color w:val="auto"/>
        </w:rPr>
        <w:t>os įgyvendinimo vietos plėtros P</w:t>
      </w:r>
      <w:r w:rsidRPr="00FB1155">
        <w:rPr>
          <w:color w:val="auto"/>
        </w:rPr>
        <w:t>rojektų sąrašą</w:t>
      </w:r>
      <w:r w:rsidR="0093578E" w:rsidRPr="00FB1155">
        <w:rPr>
          <w:color w:val="auto"/>
        </w:rPr>
        <w:t xml:space="preserve"> (toliau – Rezervinis sąrašas)</w:t>
      </w:r>
      <w:r w:rsidRPr="00FB1155">
        <w:rPr>
          <w:color w:val="auto"/>
        </w:rPr>
        <w:t xml:space="preserve">. </w:t>
      </w:r>
    </w:p>
    <w:p w14:paraId="26D9F3BC" w14:textId="1DAC2E82" w:rsidR="00637D72" w:rsidRPr="00FB1155" w:rsidRDefault="00637D72" w:rsidP="006D6E25">
      <w:pPr>
        <w:pStyle w:val="Default"/>
        <w:numPr>
          <w:ilvl w:val="0"/>
          <w:numId w:val="7"/>
        </w:numPr>
        <w:spacing w:before="120" w:after="120"/>
        <w:jc w:val="both"/>
        <w:rPr>
          <w:color w:val="auto"/>
        </w:rPr>
      </w:pPr>
      <w:r w:rsidRPr="00FB1155">
        <w:rPr>
          <w:color w:val="auto"/>
        </w:rPr>
        <w:t xml:space="preserve">Jeigu </w:t>
      </w:r>
      <w:r w:rsidR="001B795F" w:rsidRPr="00FB1155">
        <w:rPr>
          <w:color w:val="auto"/>
        </w:rPr>
        <w:t>Anykščių</w:t>
      </w:r>
      <w:r w:rsidR="0093578E" w:rsidRPr="00FB1155">
        <w:rPr>
          <w:color w:val="auto"/>
        </w:rPr>
        <w:t xml:space="preserve"> miesto</w:t>
      </w:r>
      <w:r w:rsidRPr="00FB1155">
        <w:rPr>
          <w:color w:val="auto"/>
        </w:rPr>
        <w:t xml:space="preserve"> VVG Kvietimo atrankai metu priėmė tinkamų finansuoti Projektinių pasiūlymų, kurių įgyvendinimui lėšų nepakanka, ji gali sudaryti </w:t>
      </w:r>
      <w:r w:rsidR="006D6E25" w:rsidRPr="00FB1155">
        <w:rPr>
          <w:color w:val="auto"/>
        </w:rPr>
        <w:t xml:space="preserve">Strategijos įgyvendinimo </w:t>
      </w:r>
      <w:r w:rsidR="0093578E" w:rsidRPr="00FB1155">
        <w:rPr>
          <w:color w:val="auto"/>
        </w:rPr>
        <w:t xml:space="preserve">aprašo </w:t>
      </w:r>
      <w:r w:rsidRPr="00FB1155">
        <w:rPr>
          <w:color w:val="auto"/>
        </w:rPr>
        <w:t xml:space="preserve">23.2. papunktyje nurodytą </w:t>
      </w:r>
      <w:r w:rsidR="0093578E" w:rsidRPr="00FB1155">
        <w:rPr>
          <w:color w:val="auto"/>
        </w:rPr>
        <w:t xml:space="preserve">Rezervinį </w:t>
      </w:r>
      <w:r w:rsidRPr="00FB1155">
        <w:rPr>
          <w:color w:val="auto"/>
        </w:rPr>
        <w:t xml:space="preserve">sąrašą. </w:t>
      </w:r>
      <w:r w:rsidR="0093578E" w:rsidRPr="00FB1155">
        <w:rPr>
          <w:color w:val="auto"/>
        </w:rPr>
        <w:t>Rezervinis sąrašas sudaromas vadovaujantis P</w:t>
      </w:r>
      <w:r w:rsidRPr="00FB1155">
        <w:rPr>
          <w:color w:val="auto"/>
        </w:rPr>
        <w:t xml:space="preserve">rojektinių pasiūlymų, kurie nebuvo įtraukti į </w:t>
      </w:r>
      <w:r w:rsidR="006D6E25" w:rsidRPr="00FB1155">
        <w:rPr>
          <w:color w:val="auto"/>
        </w:rPr>
        <w:t xml:space="preserve">Strategijos įgyvendinimo </w:t>
      </w:r>
      <w:r w:rsidR="0093578E" w:rsidRPr="00FB1155">
        <w:rPr>
          <w:color w:val="auto"/>
        </w:rPr>
        <w:t xml:space="preserve">aprašo </w:t>
      </w:r>
      <w:r w:rsidRPr="00FB1155">
        <w:rPr>
          <w:color w:val="auto"/>
        </w:rPr>
        <w:t xml:space="preserve">23.1. papunktyje nurodytą sąrašą, surinktų balų mažėjimo tvarka. </w:t>
      </w:r>
    </w:p>
    <w:p w14:paraId="12682846" w14:textId="6625CA26" w:rsidR="00637D72" w:rsidRPr="00FB1155" w:rsidRDefault="006D6E25" w:rsidP="006D6E25">
      <w:pPr>
        <w:pStyle w:val="Default"/>
        <w:numPr>
          <w:ilvl w:val="0"/>
          <w:numId w:val="7"/>
        </w:numPr>
        <w:spacing w:before="120" w:after="120"/>
        <w:jc w:val="both"/>
        <w:rPr>
          <w:color w:val="auto"/>
        </w:rPr>
      </w:pPr>
      <w:r w:rsidRPr="00FB1155">
        <w:rPr>
          <w:color w:val="auto"/>
        </w:rPr>
        <w:t xml:space="preserve">Strategijos įgyvendinimo </w:t>
      </w:r>
      <w:r w:rsidR="0093578E" w:rsidRPr="00FB1155">
        <w:rPr>
          <w:color w:val="auto"/>
        </w:rPr>
        <w:t xml:space="preserve">aprašo </w:t>
      </w:r>
      <w:r w:rsidR="00637D72" w:rsidRPr="00FB1155">
        <w:rPr>
          <w:color w:val="auto"/>
        </w:rPr>
        <w:t xml:space="preserve">23 punkte nurodytus sąrašus tvirtina Asociacijos valdyba. </w:t>
      </w:r>
    </w:p>
    <w:p w14:paraId="40DDC904" w14:textId="4AFF63D7" w:rsidR="00637D72" w:rsidRPr="00FB1155" w:rsidRDefault="001B795F" w:rsidP="0093578E">
      <w:pPr>
        <w:pStyle w:val="Default"/>
        <w:numPr>
          <w:ilvl w:val="0"/>
          <w:numId w:val="7"/>
        </w:numPr>
        <w:spacing w:before="120" w:after="120"/>
        <w:jc w:val="both"/>
        <w:rPr>
          <w:color w:val="auto"/>
        </w:rPr>
      </w:pPr>
      <w:r w:rsidRPr="00FB1155">
        <w:rPr>
          <w:color w:val="auto"/>
        </w:rPr>
        <w:t>Anykščių</w:t>
      </w:r>
      <w:r w:rsidR="0093578E" w:rsidRPr="00FB1155">
        <w:rPr>
          <w:color w:val="auto"/>
        </w:rPr>
        <w:t xml:space="preserve"> miesto</w:t>
      </w:r>
      <w:r w:rsidR="00637D72" w:rsidRPr="00FB1155">
        <w:rPr>
          <w:color w:val="auto"/>
        </w:rPr>
        <w:t xml:space="preserve"> VVG per 10 darbo dienų, nuo 15 punkte nurodyto Projektinių pasiūlymų vertinimo išvadų teikimo Asociacijos valdybai termino, raštu informuoja Projektinių pasiūlymų rengėjus apie priimtus spr</w:t>
      </w:r>
      <w:r w:rsidR="008456F8" w:rsidRPr="00FB1155">
        <w:rPr>
          <w:color w:val="auto"/>
        </w:rPr>
        <w:t>endimus, susijusius su jo (jų) P</w:t>
      </w:r>
      <w:r w:rsidR="00637D72" w:rsidRPr="00FB1155">
        <w:rPr>
          <w:color w:val="auto"/>
        </w:rPr>
        <w:t>rojektiniu pasiūlymu, nurodydama s</w:t>
      </w:r>
      <w:r w:rsidR="0093578E" w:rsidRPr="00FB1155">
        <w:rPr>
          <w:color w:val="auto"/>
        </w:rPr>
        <w:t>prendimų priėmimo motyvus.</w:t>
      </w:r>
    </w:p>
    <w:p w14:paraId="5F4673B9" w14:textId="773077E4" w:rsidR="00637D72" w:rsidRPr="00FB1155" w:rsidRDefault="0093578E" w:rsidP="0093578E">
      <w:pPr>
        <w:pStyle w:val="Default"/>
        <w:numPr>
          <w:ilvl w:val="0"/>
          <w:numId w:val="7"/>
        </w:numPr>
        <w:spacing w:before="120" w:after="120"/>
        <w:jc w:val="both"/>
        <w:rPr>
          <w:color w:val="auto"/>
        </w:rPr>
      </w:pPr>
      <w:r w:rsidRPr="00FB1155">
        <w:rPr>
          <w:color w:val="auto"/>
        </w:rPr>
        <w:t>Siūlomų finansuoti Projektų sąrašas, numatyta 23.1 punkte, į kurį įtrauktas bent vienas</w:t>
      </w:r>
      <w:r w:rsidR="00637D72" w:rsidRPr="00FB1155">
        <w:rPr>
          <w:color w:val="auto"/>
        </w:rPr>
        <w:t xml:space="preserve"> Pr</w:t>
      </w:r>
      <w:r w:rsidRPr="00FB1155">
        <w:rPr>
          <w:color w:val="auto"/>
        </w:rPr>
        <w:t>ojektinis pasiūlymas, kartu su P</w:t>
      </w:r>
      <w:r w:rsidR="00637D72" w:rsidRPr="00FB1155">
        <w:rPr>
          <w:color w:val="auto"/>
        </w:rPr>
        <w:t xml:space="preserve">rojektiniais </w:t>
      </w:r>
      <w:r w:rsidR="008456F8" w:rsidRPr="00FB1155">
        <w:rPr>
          <w:color w:val="auto"/>
        </w:rPr>
        <w:t>pasiūlymais dėl vietos plėtros P</w:t>
      </w:r>
      <w:r w:rsidR="00637D72" w:rsidRPr="00FB1155">
        <w:rPr>
          <w:color w:val="auto"/>
        </w:rPr>
        <w:t>rojekto įgyvendinimo, turi būti pateiktas Ministerijai per 12 mėnesių nuo Strate</w:t>
      </w:r>
      <w:r w:rsidRPr="00FB1155">
        <w:rPr>
          <w:color w:val="auto"/>
        </w:rPr>
        <w:t>gijos patvirtinimo Lietuvos Respublikos vidaus reikalų ministro 2016 m. liepos 20 d. įsakymu Nr. 1V-505 „Dėl siūlomų atrinkti ir finansuoti pagal 2014–2020 metų Europos Sąjungos fondų investicijų veiksmų programos 8 prioriteto „Socialinės įtraukties didinimas ir kova su skurdu“ priemones Nr. 08.6.1-ESFA-T-910 „Vietos plėtros strategijų įgyvendinimo administravimas“ ir Nr. 08.6.1-ESFA-V-911 „Vietos plėtros strategijų įgyvendinimas“ vietos plėtros strategijų sąrašo sudarymo</w:t>
      </w:r>
      <w:r w:rsidR="00637D72" w:rsidRPr="00FB1155">
        <w:rPr>
          <w:color w:val="auto"/>
        </w:rPr>
        <w:t xml:space="preserve">“ (toliau – miesto Strategijų sąrašas) dienos. Šis terminas gali būti pratęstas ne ilgiau kaip 3 mėnesiams tuo atveju, jeigu atsiranda nuo </w:t>
      </w:r>
      <w:r w:rsidR="00317297" w:rsidRPr="00FB1155">
        <w:rPr>
          <w:color w:val="auto"/>
        </w:rPr>
        <w:t xml:space="preserve">Anykščių </w:t>
      </w:r>
      <w:r w:rsidR="00637D72" w:rsidRPr="00FB1155">
        <w:rPr>
          <w:color w:val="auto"/>
        </w:rPr>
        <w:t xml:space="preserve">miesto VVG nepriklausančios aplinkybės, kurių </w:t>
      </w:r>
      <w:r w:rsidR="00317297" w:rsidRPr="00FB1155">
        <w:rPr>
          <w:color w:val="auto"/>
        </w:rPr>
        <w:t xml:space="preserve">Anykščių </w:t>
      </w:r>
      <w:r w:rsidR="00637D72" w:rsidRPr="00FB1155">
        <w:rPr>
          <w:color w:val="auto"/>
        </w:rPr>
        <w:t xml:space="preserve">miesto VVG negalėjo numatyti iš anksto ir jų išvengti. Nepateikus siūlomų finansuoti Strategijos įgyvendinimo Projektų sąrašo kartu su Projektiniais pasiūlymais iki šiame punkte nustatyto termino pabaigos, Strategija išbraukiama iš siūlomų finansuoti vietos plėtros strategijų sąrašo. </w:t>
      </w:r>
    </w:p>
    <w:p w14:paraId="2CD27C71" w14:textId="22FC4153" w:rsidR="00637D72" w:rsidRPr="00FB1155" w:rsidRDefault="00637D72" w:rsidP="0093578E">
      <w:pPr>
        <w:pStyle w:val="Default"/>
        <w:numPr>
          <w:ilvl w:val="0"/>
          <w:numId w:val="7"/>
        </w:numPr>
        <w:spacing w:before="120" w:after="120"/>
        <w:jc w:val="both"/>
        <w:rPr>
          <w:color w:val="auto"/>
        </w:rPr>
      </w:pPr>
      <w:r w:rsidRPr="00FB1155">
        <w:rPr>
          <w:color w:val="auto"/>
        </w:rPr>
        <w:t xml:space="preserve">Papildomais Kvietimais atrankai </w:t>
      </w:r>
      <w:r w:rsidR="00317297" w:rsidRPr="00FB1155">
        <w:rPr>
          <w:color w:val="auto"/>
        </w:rPr>
        <w:t>patvirtintų Projektų sąrašas (-ai)</w:t>
      </w:r>
      <w:r w:rsidRPr="00FB1155">
        <w:rPr>
          <w:color w:val="auto"/>
        </w:rPr>
        <w:t xml:space="preserve"> kartu su Projektiniais </w:t>
      </w:r>
      <w:r w:rsidR="008456F8" w:rsidRPr="00FB1155">
        <w:rPr>
          <w:color w:val="auto"/>
        </w:rPr>
        <w:t>pasiūlymais dėl vietos plėtros P</w:t>
      </w:r>
      <w:r w:rsidRPr="00FB1155">
        <w:rPr>
          <w:color w:val="auto"/>
        </w:rPr>
        <w:t xml:space="preserve">rojekto įgyvendinimo turi būti pateikti ne vėliau kaip iki 2019 m. gruodžio 30 d. </w:t>
      </w:r>
    </w:p>
    <w:p w14:paraId="76ABF81B" w14:textId="748BDB67" w:rsidR="00637D72" w:rsidRPr="00FB1155" w:rsidRDefault="00F37799" w:rsidP="00001358">
      <w:pPr>
        <w:pStyle w:val="Heading2"/>
        <w:ind w:left="426" w:hanging="432"/>
        <w:rPr>
          <w:rFonts w:ascii="Times New Roman" w:hAnsi="Times New Roman"/>
          <w:szCs w:val="24"/>
        </w:rPr>
      </w:pPr>
      <w:bookmarkStart w:id="11" w:name="_Toc484547347"/>
      <w:r w:rsidRPr="00FB1155">
        <w:rPr>
          <w:rFonts w:ascii="Times New Roman" w:hAnsi="Times New Roman"/>
          <w:szCs w:val="24"/>
        </w:rPr>
        <w:lastRenderedPageBreak/>
        <w:t>V.</w:t>
      </w:r>
      <w:r w:rsidR="00001358" w:rsidRPr="00FB1155">
        <w:rPr>
          <w:rFonts w:ascii="Times New Roman" w:hAnsi="Times New Roman"/>
          <w:szCs w:val="24"/>
        </w:rPr>
        <w:t xml:space="preserve"> </w:t>
      </w:r>
      <w:r w:rsidRPr="00FB1155">
        <w:rPr>
          <w:rFonts w:ascii="Times New Roman" w:hAnsi="Times New Roman"/>
          <w:szCs w:val="24"/>
        </w:rPr>
        <w:t>Skirsnis</w:t>
      </w:r>
      <w:r w:rsidR="00001358" w:rsidRPr="00FB1155">
        <w:rPr>
          <w:rFonts w:ascii="Times New Roman" w:hAnsi="Times New Roman"/>
          <w:szCs w:val="24"/>
        </w:rPr>
        <w:t>. Ministerijai siūlomų finansuoti vietos plėtros projektų sąrašų sudarymas ir tvirtinimas</w:t>
      </w:r>
      <w:bookmarkEnd w:id="11"/>
    </w:p>
    <w:p w14:paraId="3E5A2AE8" w14:textId="5962767F" w:rsidR="00637D72" w:rsidRPr="00FB1155" w:rsidRDefault="00637D72" w:rsidP="0093578E">
      <w:pPr>
        <w:pStyle w:val="Default"/>
        <w:numPr>
          <w:ilvl w:val="0"/>
          <w:numId w:val="7"/>
        </w:numPr>
        <w:spacing w:before="120" w:after="120"/>
        <w:jc w:val="both"/>
        <w:rPr>
          <w:color w:val="auto"/>
        </w:rPr>
      </w:pPr>
      <w:r w:rsidRPr="00FB1155">
        <w:rPr>
          <w:color w:val="auto"/>
        </w:rPr>
        <w:t>Ministerijos siū</w:t>
      </w:r>
      <w:r w:rsidR="008456F8" w:rsidRPr="00FB1155">
        <w:rPr>
          <w:color w:val="auto"/>
        </w:rPr>
        <w:t>lomų finansuoti vietos plėtros P</w:t>
      </w:r>
      <w:r w:rsidRPr="00FB1155">
        <w:rPr>
          <w:color w:val="auto"/>
        </w:rPr>
        <w:t xml:space="preserve">rojektų sąrašą Ministerija sudaro atsižvelgdama į Strategiją, </w:t>
      </w:r>
      <w:r w:rsidR="001B795F" w:rsidRPr="00FB1155">
        <w:rPr>
          <w:color w:val="auto"/>
        </w:rPr>
        <w:t>Anykščių</w:t>
      </w:r>
      <w:r w:rsidR="00DD12A2" w:rsidRPr="00FB1155">
        <w:rPr>
          <w:color w:val="auto"/>
        </w:rPr>
        <w:t xml:space="preserve"> miesto</w:t>
      </w:r>
      <w:r w:rsidRPr="00FB1155">
        <w:rPr>
          <w:color w:val="auto"/>
        </w:rPr>
        <w:t xml:space="preserve"> VVG sudarytą ir Ministerijai pateiktą siūlomų finansuoti Strategijos įgyvendinimo Projektų sąrašą, Veiksmų programos 8 prioriteto 8.6.1 konkretų uždavinį „Pagerinti vietines įsidarbinimo galimybes ir didinti bendruomenių socialinę integraciją, išnaudojant vietos bendruomenių, verslo ir vietos valdžios ryšius“, 2014–2020 metų Europos Sąjungos fondų investicijų veiksmų programos priedą, patvirtintą Lietuvos Respublikos Vyriausybės 2014 m. lapkričio 26 d. nutarimu Nr. 1326 „Dėl 2014–2020 metų Europos Sąjungos fondų investicijų veiksmų programos priedo patvirtinimo“ (toliau – Veiksmų programos priedas), Lietuvos Respublikos vidaus reikalų ministerijos 2014–2020 metų Europos Sąjungos fondų investicijų veiksmų programos prioritetų įgyvendinimo priemonių įgyvendinimo planą, patvirtintą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 (toliau – priemonių įgyvendinimo planas), Projektų administravimo ir finansavimo taisyklių ir Lietuvos Respublikos vidaus reikalų ministro tvirtinamo 2014–2020 m. Europos Sąjungos fondų investicijų veiksmų programos 8 prioriteto „Socialinės įtraukties didinimas ir kova su skurdu“ 08.6.1-ESFA-V-911 priemonės „Vietos plėtros strategijų įgyvendinimas“ projektų finansavimo sąlygų aprašo nuostatas. </w:t>
      </w:r>
    </w:p>
    <w:p w14:paraId="65BEF80A" w14:textId="6D4247E9" w:rsidR="00637D72" w:rsidRPr="00FB1155" w:rsidRDefault="00637D72" w:rsidP="001B795F">
      <w:pPr>
        <w:pStyle w:val="Default"/>
        <w:numPr>
          <w:ilvl w:val="0"/>
          <w:numId w:val="7"/>
        </w:numPr>
        <w:spacing w:before="120" w:after="120"/>
        <w:jc w:val="both"/>
        <w:rPr>
          <w:color w:val="auto"/>
        </w:rPr>
      </w:pPr>
      <w:r w:rsidRPr="00FB1155">
        <w:rPr>
          <w:color w:val="auto"/>
        </w:rPr>
        <w:t>Ministerijos siū</w:t>
      </w:r>
      <w:r w:rsidR="008456F8" w:rsidRPr="00FB1155">
        <w:rPr>
          <w:color w:val="auto"/>
        </w:rPr>
        <w:t>lomų finansuoti vietos plėtros P</w:t>
      </w:r>
      <w:r w:rsidRPr="00FB1155">
        <w:rPr>
          <w:color w:val="auto"/>
        </w:rPr>
        <w:t>rojektų sąrašas sudaromas pagal Iš Europos Sąjungos struktūrinių fondų lėšų siūlomų bendrai finansuoti valstybės ar regiono projektų sąrašo formą, patvirtintą Lietuvos Respublikos finansų ministro 2014 m. birželio 27 d. įsakymu Nr. 1K-199 „Dėl 2014–2020 m. Europos Sąjungos fondų investicijų veiksmų programos administravimo taisyklių įgyvendinimo“. Ministerijos siū</w:t>
      </w:r>
      <w:r w:rsidR="008456F8" w:rsidRPr="00FB1155">
        <w:rPr>
          <w:color w:val="auto"/>
        </w:rPr>
        <w:t>lomų finansuoti vietos plėtros P</w:t>
      </w:r>
      <w:r w:rsidRPr="00FB1155">
        <w:rPr>
          <w:color w:val="auto"/>
        </w:rPr>
        <w:t xml:space="preserve">rojektų sąrašą tvirtina Lietuvos Respublikos vidaus reikalų ministras. </w:t>
      </w:r>
    </w:p>
    <w:p w14:paraId="6A3E8434" w14:textId="1995C89F" w:rsidR="00637D72" w:rsidRPr="00FB1155" w:rsidRDefault="00637D72" w:rsidP="006D6E25">
      <w:pPr>
        <w:pStyle w:val="Default"/>
        <w:numPr>
          <w:ilvl w:val="0"/>
          <w:numId w:val="7"/>
        </w:numPr>
        <w:spacing w:before="120" w:after="120"/>
        <w:jc w:val="both"/>
        <w:rPr>
          <w:color w:val="auto"/>
        </w:rPr>
      </w:pPr>
      <w:r w:rsidRPr="00FB1155">
        <w:rPr>
          <w:color w:val="auto"/>
        </w:rPr>
        <w:t xml:space="preserve">Kai </w:t>
      </w:r>
      <w:r w:rsidR="001B795F" w:rsidRPr="00FB1155">
        <w:rPr>
          <w:color w:val="auto"/>
        </w:rPr>
        <w:t>Anykščių</w:t>
      </w:r>
      <w:r w:rsidR="00401A10" w:rsidRPr="00FB1155">
        <w:rPr>
          <w:color w:val="auto"/>
        </w:rPr>
        <w:t xml:space="preserve"> miesto</w:t>
      </w:r>
      <w:r w:rsidRPr="00FB1155">
        <w:rPr>
          <w:color w:val="auto"/>
        </w:rPr>
        <w:t xml:space="preserve"> VVG negali pateikti Projektų sąrašo kartu su Projektiniais pasiūlymais per </w:t>
      </w:r>
      <w:r w:rsidR="006D6E25" w:rsidRPr="00FB1155">
        <w:rPr>
          <w:color w:val="auto"/>
        </w:rPr>
        <w:t xml:space="preserve">Strategijos įgyvendinimo </w:t>
      </w:r>
      <w:r w:rsidR="00401A10" w:rsidRPr="00FB1155">
        <w:rPr>
          <w:color w:val="auto"/>
        </w:rPr>
        <w:t xml:space="preserve">aprašo </w:t>
      </w:r>
      <w:r w:rsidRPr="00FB1155">
        <w:rPr>
          <w:color w:val="auto"/>
        </w:rPr>
        <w:t xml:space="preserve">27 punkte nustatytą terminą, </w:t>
      </w:r>
      <w:r w:rsidR="001B795F" w:rsidRPr="00FB1155">
        <w:rPr>
          <w:color w:val="auto"/>
        </w:rPr>
        <w:t>Anykščių</w:t>
      </w:r>
      <w:r w:rsidR="00401A10" w:rsidRPr="00FB1155">
        <w:rPr>
          <w:color w:val="auto"/>
        </w:rPr>
        <w:t xml:space="preserve"> miesto</w:t>
      </w:r>
      <w:r w:rsidRPr="00FB1155">
        <w:rPr>
          <w:color w:val="auto"/>
        </w:rPr>
        <w:t xml:space="preserve"> VVG likus ne mažiau kaip 14 dienų iki </w:t>
      </w:r>
      <w:r w:rsidR="006D6E25" w:rsidRPr="00FB1155">
        <w:rPr>
          <w:color w:val="auto"/>
        </w:rPr>
        <w:t xml:space="preserve">Strategijos įgyvendinimo </w:t>
      </w:r>
      <w:r w:rsidR="00401A10" w:rsidRPr="00FB1155">
        <w:rPr>
          <w:color w:val="auto"/>
        </w:rPr>
        <w:t>aprašo 27</w:t>
      </w:r>
      <w:r w:rsidRPr="00FB1155">
        <w:rPr>
          <w:color w:val="auto"/>
        </w:rPr>
        <w:t xml:space="preserve"> punkte nustatyto termino pabaigos raštu kreipiasi į Ministeriją nurodydama priežastis, dėl kurių negali laiku pateikti Projektų sąrašo kartu su Projektiniais pasiūlymais, ir</w:t>
      </w:r>
      <w:r w:rsidR="008456F8" w:rsidRPr="00FB1155">
        <w:rPr>
          <w:color w:val="auto"/>
        </w:rPr>
        <w:t xml:space="preserve"> datą, kada Projektų sąrašą su P</w:t>
      </w:r>
      <w:r w:rsidRPr="00FB1155">
        <w:rPr>
          <w:color w:val="auto"/>
        </w:rPr>
        <w:t xml:space="preserve">rojektiniais pasiūlymais galėtų pateikti. </w:t>
      </w:r>
    </w:p>
    <w:p w14:paraId="5B33695D" w14:textId="41CE7137" w:rsidR="00CE52FD" w:rsidRPr="00FB1155" w:rsidRDefault="00637D72" w:rsidP="006D6E25">
      <w:pPr>
        <w:pStyle w:val="Default"/>
        <w:numPr>
          <w:ilvl w:val="0"/>
          <w:numId w:val="7"/>
        </w:numPr>
        <w:spacing w:before="120" w:after="120"/>
        <w:jc w:val="both"/>
        <w:rPr>
          <w:color w:val="auto"/>
        </w:rPr>
      </w:pPr>
      <w:r w:rsidRPr="00FB1155">
        <w:rPr>
          <w:color w:val="auto"/>
        </w:rPr>
        <w:t xml:space="preserve">Ministerija, gavusi </w:t>
      </w:r>
      <w:r w:rsidR="006D6E25" w:rsidRPr="00FB1155">
        <w:rPr>
          <w:color w:val="auto"/>
        </w:rPr>
        <w:t xml:space="preserve">Strategijos įgyvendinimo </w:t>
      </w:r>
      <w:r w:rsidR="00CE52FD" w:rsidRPr="00FB1155">
        <w:rPr>
          <w:color w:val="auto"/>
        </w:rPr>
        <w:t xml:space="preserve">aprašo </w:t>
      </w:r>
      <w:r w:rsidRPr="00FB1155">
        <w:rPr>
          <w:color w:val="auto"/>
        </w:rPr>
        <w:t xml:space="preserve">31 punkte nurodytą informaciją, įvertina priežastis, dėl kurių </w:t>
      </w:r>
      <w:r w:rsidR="001B795F" w:rsidRPr="00FB1155">
        <w:rPr>
          <w:color w:val="auto"/>
        </w:rPr>
        <w:t>Anykščių</w:t>
      </w:r>
      <w:r w:rsidR="00CE52FD" w:rsidRPr="00FB1155">
        <w:rPr>
          <w:color w:val="auto"/>
        </w:rPr>
        <w:t xml:space="preserve"> miesto</w:t>
      </w:r>
      <w:r w:rsidRPr="00FB1155">
        <w:rPr>
          <w:color w:val="auto"/>
        </w:rPr>
        <w:t xml:space="preserve"> VVG per nustatytą terminą negali pateikti Projektų sąrašo kartu su Projektiniais pasiūlymais, ir datą, kada </w:t>
      </w:r>
      <w:r w:rsidR="001B795F" w:rsidRPr="00FB1155">
        <w:rPr>
          <w:color w:val="auto"/>
        </w:rPr>
        <w:t>Anykščių</w:t>
      </w:r>
      <w:r w:rsidR="00CE52FD" w:rsidRPr="00FB1155">
        <w:rPr>
          <w:color w:val="auto"/>
        </w:rPr>
        <w:t xml:space="preserve"> miesto</w:t>
      </w:r>
      <w:r w:rsidRPr="00FB1155">
        <w:rPr>
          <w:color w:val="auto"/>
        </w:rPr>
        <w:t xml:space="preserve"> VVG galėtų pateikti Projektų sąrašą kartu su Projektiniais pasiūlymais, ir ne vėliau kaip per 7 dienas nuo </w:t>
      </w:r>
      <w:r w:rsidR="006D6E25" w:rsidRPr="00FB1155">
        <w:rPr>
          <w:color w:val="auto"/>
        </w:rPr>
        <w:t xml:space="preserve">Strategijos įgyvendinimo </w:t>
      </w:r>
      <w:r w:rsidR="00CE52FD" w:rsidRPr="00FB1155">
        <w:rPr>
          <w:color w:val="auto"/>
        </w:rPr>
        <w:t xml:space="preserve">aprašo </w:t>
      </w:r>
      <w:r w:rsidRPr="00FB1155">
        <w:rPr>
          <w:color w:val="auto"/>
        </w:rPr>
        <w:t>31 punkte nurodytos informacij</w:t>
      </w:r>
      <w:r w:rsidR="00CE52FD" w:rsidRPr="00FB1155">
        <w:rPr>
          <w:color w:val="auto"/>
        </w:rPr>
        <w:t>os Ministerijoje gavimo dienos:</w:t>
      </w:r>
    </w:p>
    <w:p w14:paraId="11AC628C" w14:textId="1E831F7F" w:rsidR="00637D72" w:rsidRPr="00FB1155" w:rsidRDefault="00637D72" w:rsidP="00CE52FD">
      <w:pPr>
        <w:pStyle w:val="Default"/>
        <w:numPr>
          <w:ilvl w:val="1"/>
          <w:numId w:val="21"/>
        </w:numPr>
        <w:spacing w:before="120" w:after="120"/>
        <w:jc w:val="both"/>
        <w:rPr>
          <w:color w:val="auto"/>
        </w:rPr>
      </w:pPr>
      <w:r w:rsidRPr="00FB1155">
        <w:rPr>
          <w:color w:val="auto"/>
        </w:rPr>
        <w:t xml:space="preserve">tuo atveju, kai pritaria Projektų sąrašo kartu su Projektiniais pasiūlymais pateikimo termino pratęsimui, priima sprendimą pratęsti dokumentų pateikimo terminą iki </w:t>
      </w:r>
      <w:r w:rsidR="001B795F" w:rsidRPr="00FB1155">
        <w:rPr>
          <w:color w:val="auto"/>
        </w:rPr>
        <w:t>Anykščių</w:t>
      </w:r>
      <w:r w:rsidRPr="00FB1155">
        <w:rPr>
          <w:color w:val="auto"/>
        </w:rPr>
        <w:t xml:space="preserve"> </w:t>
      </w:r>
      <w:r w:rsidR="00CE52FD" w:rsidRPr="00FB1155">
        <w:rPr>
          <w:color w:val="auto"/>
        </w:rPr>
        <w:t>miesto</w:t>
      </w:r>
      <w:r w:rsidRPr="00FB1155">
        <w:rPr>
          <w:color w:val="auto"/>
        </w:rPr>
        <w:t xml:space="preserve"> VVG nurodytos datos arba iki kitos, savo siūlomos datos ir raštu informuoja </w:t>
      </w:r>
      <w:r w:rsidR="001B795F" w:rsidRPr="00FB1155">
        <w:rPr>
          <w:color w:val="auto"/>
        </w:rPr>
        <w:t>Anykščių</w:t>
      </w:r>
      <w:r w:rsidRPr="00FB1155">
        <w:rPr>
          <w:color w:val="auto"/>
        </w:rPr>
        <w:t xml:space="preserve"> m</w:t>
      </w:r>
      <w:r w:rsidR="001C6F80" w:rsidRPr="00FB1155">
        <w:rPr>
          <w:color w:val="auto"/>
        </w:rPr>
        <w:t>iesto</w:t>
      </w:r>
      <w:r w:rsidRPr="00FB1155">
        <w:rPr>
          <w:color w:val="auto"/>
        </w:rPr>
        <w:t xml:space="preserve"> VVG apie naują Projektų sąrašo kartu su Projektiniais pasiūlymais </w:t>
      </w:r>
      <w:r w:rsidRPr="00FB1155">
        <w:rPr>
          <w:color w:val="auto"/>
        </w:rPr>
        <w:lastRenderedPageBreak/>
        <w:t xml:space="preserve">pateikimo terminą. Jeigu siūlomas kitas terminas, paaiškina kito, nei </w:t>
      </w:r>
      <w:r w:rsidR="001B795F" w:rsidRPr="00FB1155">
        <w:rPr>
          <w:color w:val="auto"/>
        </w:rPr>
        <w:t>Anykščių</w:t>
      </w:r>
      <w:r w:rsidR="00CE52FD" w:rsidRPr="00FB1155">
        <w:rPr>
          <w:color w:val="auto"/>
        </w:rPr>
        <w:t xml:space="preserve"> miesto</w:t>
      </w:r>
      <w:r w:rsidRPr="00FB1155">
        <w:rPr>
          <w:color w:val="auto"/>
        </w:rPr>
        <w:t xml:space="preserve"> VVG buvo nurodžiusi, dokumentų pateikimo termino nustatymo priežastis; </w:t>
      </w:r>
    </w:p>
    <w:p w14:paraId="1D4D4DBB" w14:textId="1CFCE663" w:rsidR="00637D72" w:rsidRPr="00FB1155" w:rsidRDefault="00637D72" w:rsidP="00CE52FD">
      <w:pPr>
        <w:pStyle w:val="Default"/>
        <w:numPr>
          <w:ilvl w:val="1"/>
          <w:numId w:val="21"/>
        </w:numPr>
        <w:spacing w:before="120" w:after="120"/>
        <w:jc w:val="both"/>
        <w:rPr>
          <w:color w:val="auto"/>
        </w:rPr>
      </w:pPr>
      <w:r w:rsidRPr="00FB1155">
        <w:rPr>
          <w:color w:val="auto"/>
        </w:rPr>
        <w:t xml:space="preserve">tuo atveju, kai nesutinka pratęsti Projektų sąrašo kartu su Projektiniais pasiūlymais pateikimo termino, apie tai raštu informuoja </w:t>
      </w:r>
      <w:r w:rsidR="00CE52FD" w:rsidRPr="00FB1155">
        <w:rPr>
          <w:color w:val="auto"/>
        </w:rPr>
        <w:t xml:space="preserve">Anykščių </w:t>
      </w:r>
      <w:r w:rsidRPr="00FB1155">
        <w:rPr>
          <w:color w:val="auto"/>
        </w:rPr>
        <w:t xml:space="preserve">miesto VVG nurodydama nesutikimo priežastis. </w:t>
      </w:r>
    </w:p>
    <w:p w14:paraId="39ABD39A" w14:textId="02716295" w:rsidR="00637D72" w:rsidRPr="00FB1155" w:rsidRDefault="00637D72" w:rsidP="006D6E25">
      <w:pPr>
        <w:pStyle w:val="Default"/>
        <w:numPr>
          <w:ilvl w:val="0"/>
          <w:numId w:val="7"/>
        </w:numPr>
        <w:spacing w:before="120" w:after="120"/>
        <w:jc w:val="both"/>
        <w:rPr>
          <w:color w:val="auto"/>
        </w:rPr>
      </w:pPr>
      <w:r w:rsidRPr="00FB1155">
        <w:rPr>
          <w:color w:val="auto"/>
        </w:rPr>
        <w:t xml:space="preserve">Jeigu </w:t>
      </w:r>
      <w:r w:rsidR="001B795F" w:rsidRPr="00FB1155">
        <w:rPr>
          <w:color w:val="auto"/>
        </w:rPr>
        <w:t>Anykščių</w:t>
      </w:r>
      <w:r w:rsidR="00CE52FD" w:rsidRPr="00FB1155">
        <w:rPr>
          <w:color w:val="auto"/>
        </w:rPr>
        <w:t xml:space="preserve"> miesto</w:t>
      </w:r>
      <w:r w:rsidRPr="00FB1155">
        <w:rPr>
          <w:color w:val="auto"/>
        </w:rPr>
        <w:t xml:space="preserve"> VVG nepateikia Projektų sąrašo kartu su projektiniais pasiūlymais per </w:t>
      </w:r>
      <w:r w:rsidR="006D6E25" w:rsidRPr="00FB1155">
        <w:rPr>
          <w:color w:val="auto"/>
        </w:rPr>
        <w:t xml:space="preserve">Strategijos įgyvendinimo </w:t>
      </w:r>
      <w:r w:rsidR="00CE52FD" w:rsidRPr="00FB1155">
        <w:rPr>
          <w:color w:val="auto"/>
        </w:rPr>
        <w:t xml:space="preserve">aprašo </w:t>
      </w:r>
      <w:r w:rsidRPr="00FB1155">
        <w:rPr>
          <w:color w:val="auto"/>
        </w:rPr>
        <w:t>2</w:t>
      </w:r>
      <w:r w:rsidR="00CE52FD" w:rsidRPr="00FB1155">
        <w:rPr>
          <w:color w:val="auto"/>
        </w:rPr>
        <w:t>7</w:t>
      </w:r>
      <w:r w:rsidRPr="00FB1155">
        <w:rPr>
          <w:color w:val="auto"/>
        </w:rPr>
        <w:t xml:space="preserve"> punkte nustatytą terminą, Ministerijos Regioninės politikos departamentas parengia siūlomų finansuoti vietos plėtros strategijų sąrašo patvirtinimo įsakymo pakeitimo projektą išbraukiant Strategiją, kuriai nebuvo pateiktas Projektų sąrašas kartu su Projektiniais pasiūlymais, ir teikia jį tvirtinti Lietuvos Respublikos vidaus reikalų ministrui. Lietuvos Respublikos vidaus reikalų ministrui patvirtinus siūlomų finansuoti vietos plėtros strategijų sąrašo patvirtinimo įsakymo pakeitimo projektą, Ministerija per 5 darbo dienas apie tai informuoja </w:t>
      </w:r>
      <w:r w:rsidR="001B795F" w:rsidRPr="00FB1155">
        <w:rPr>
          <w:color w:val="auto"/>
        </w:rPr>
        <w:t>Anykščių</w:t>
      </w:r>
      <w:r w:rsidRPr="00FB1155">
        <w:rPr>
          <w:color w:val="auto"/>
        </w:rPr>
        <w:t xml:space="preserve"> m</w:t>
      </w:r>
      <w:r w:rsidR="00CE52FD" w:rsidRPr="00FB1155">
        <w:rPr>
          <w:color w:val="auto"/>
        </w:rPr>
        <w:t>iesto</w:t>
      </w:r>
      <w:r w:rsidRPr="00FB1155">
        <w:rPr>
          <w:color w:val="auto"/>
        </w:rPr>
        <w:t xml:space="preserve"> VVG. </w:t>
      </w:r>
    </w:p>
    <w:p w14:paraId="0FCDEA8E" w14:textId="6A004B9D" w:rsidR="00CE52FD" w:rsidRPr="00FB1155" w:rsidRDefault="00637D72" w:rsidP="006D6E25">
      <w:pPr>
        <w:pStyle w:val="Default"/>
        <w:numPr>
          <w:ilvl w:val="0"/>
          <w:numId w:val="7"/>
        </w:numPr>
        <w:spacing w:before="120" w:after="120"/>
        <w:jc w:val="both"/>
        <w:rPr>
          <w:color w:val="auto"/>
        </w:rPr>
      </w:pPr>
      <w:r w:rsidRPr="00FB1155">
        <w:rPr>
          <w:color w:val="auto"/>
        </w:rPr>
        <w:t xml:space="preserve">Ministerija, gavusi vadovaujantis </w:t>
      </w:r>
      <w:r w:rsidR="006D6E25" w:rsidRPr="00FB1155">
        <w:rPr>
          <w:color w:val="auto"/>
        </w:rPr>
        <w:t xml:space="preserve">Strategijos įgyvendinimo </w:t>
      </w:r>
      <w:r w:rsidR="00CE52FD" w:rsidRPr="00FB1155">
        <w:rPr>
          <w:color w:val="auto"/>
        </w:rPr>
        <w:t xml:space="preserve">aprašo </w:t>
      </w:r>
      <w:r w:rsidRPr="00FB1155">
        <w:rPr>
          <w:color w:val="auto"/>
        </w:rPr>
        <w:t>27, 28 punktu pateiktą Projektų sąrašą kartu su Projektiniais pasiūlymais, ne vėliau kaip per 20 darbo dienų nuo šių dokumentų gavimo Ministeri</w:t>
      </w:r>
      <w:r w:rsidR="00CE52FD" w:rsidRPr="00FB1155">
        <w:rPr>
          <w:color w:val="auto"/>
        </w:rPr>
        <w:t>joje dienos turi įvertinti, ar:</w:t>
      </w:r>
    </w:p>
    <w:p w14:paraId="7E1DDC9E" w14:textId="77777777" w:rsidR="00CE52FD" w:rsidRPr="00FB1155" w:rsidRDefault="00CE52FD" w:rsidP="00CE52FD">
      <w:pPr>
        <w:pStyle w:val="Default"/>
        <w:numPr>
          <w:ilvl w:val="1"/>
          <w:numId w:val="22"/>
        </w:numPr>
        <w:spacing w:before="120" w:after="120"/>
        <w:jc w:val="both"/>
        <w:rPr>
          <w:color w:val="auto"/>
        </w:rPr>
      </w:pPr>
      <w:r w:rsidRPr="00FB1155">
        <w:rPr>
          <w:color w:val="auto"/>
        </w:rPr>
        <w:t xml:space="preserve"> </w:t>
      </w:r>
      <w:r w:rsidR="00637D72" w:rsidRPr="00FB1155">
        <w:rPr>
          <w:color w:val="auto"/>
        </w:rPr>
        <w:t>Projektinis pasiūlymas atitinka Strategijos nuostatas:</w:t>
      </w:r>
    </w:p>
    <w:p w14:paraId="4783897A" w14:textId="02FB4361" w:rsidR="00637D72" w:rsidRPr="00FB1155" w:rsidRDefault="00637D72" w:rsidP="00CE52FD">
      <w:pPr>
        <w:pStyle w:val="Default"/>
        <w:numPr>
          <w:ilvl w:val="2"/>
          <w:numId w:val="22"/>
        </w:numPr>
        <w:spacing w:before="120" w:after="120"/>
        <w:jc w:val="both"/>
        <w:rPr>
          <w:color w:val="auto"/>
        </w:rPr>
      </w:pPr>
      <w:r w:rsidRPr="00FB1155">
        <w:rPr>
          <w:color w:val="auto"/>
        </w:rPr>
        <w:t xml:space="preserve">ar Projektinis pasiūlymas atitinka Strategijos teritoriją, tikslą, uždavinį ir veiksmą (-us); </w:t>
      </w:r>
    </w:p>
    <w:p w14:paraId="3D784029" w14:textId="008A94C4" w:rsidR="007A673E" w:rsidRPr="00FB1155" w:rsidRDefault="00637D72" w:rsidP="00CE52FD">
      <w:pPr>
        <w:pStyle w:val="Default"/>
        <w:numPr>
          <w:ilvl w:val="2"/>
          <w:numId w:val="22"/>
        </w:numPr>
        <w:spacing w:before="120" w:after="120"/>
        <w:jc w:val="both"/>
        <w:rPr>
          <w:color w:val="auto"/>
        </w:rPr>
      </w:pPr>
      <w:r w:rsidRPr="00FB1155">
        <w:rPr>
          <w:color w:val="auto"/>
        </w:rPr>
        <w:t>ar Projektinio pasiūlymo aprašyme ir siūlomų finansuoti Projektų sąraše nurodyto</w:t>
      </w:r>
      <w:r w:rsidR="00434398" w:rsidRPr="00FB1155">
        <w:rPr>
          <w:color w:val="auto"/>
        </w:rPr>
        <w:t>s preliminarios vietos plėtros P</w:t>
      </w:r>
      <w:r w:rsidRPr="00FB1155">
        <w:rPr>
          <w:color w:val="auto"/>
        </w:rPr>
        <w:t xml:space="preserve">rojekto paramos sumos neviršija Strategijos finansiniame plane veiksmui numatytos paramos sumos </w:t>
      </w:r>
      <w:r w:rsidR="007A673E" w:rsidRPr="00FB1155">
        <w:rPr>
          <w:color w:val="auto"/>
        </w:rPr>
        <w:t xml:space="preserve">ir Jungtinio vietos plėtros strategijų atrankos komiteto </w:t>
      </w:r>
      <w:r w:rsidR="001F6D1B" w:rsidRPr="00FB1155">
        <w:rPr>
          <w:color w:val="auto"/>
        </w:rPr>
        <w:t xml:space="preserve">(toliau – Komitetas) </w:t>
      </w:r>
      <w:r w:rsidR="007A673E" w:rsidRPr="00FB1155">
        <w:rPr>
          <w:color w:val="auto"/>
        </w:rPr>
        <w:t>sudarytame vietos plėtros strategijų sąraše numatytos sumos Strategijai įgyvendinti.</w:t>
      </w:r>
    </w:p>
    <w:p w14:paraId="7AB473F3" w14:textId="27586EA6" w:rsidR="00637D72" w:rsidRPr="00FB1155" w:rsidRDefault="00637D72" w:rsidP="00CE52FD">
      <w:pPr>
        <w:pStyle w:val="Default"/>
        <w:numPr>
          <w:ilvl w:val="1"/>
          <w:numId w:val="22"/>
        </w:numPr>
        <w:spacing w:before="120" w:after="120"/>
        <w:jc w:val="both"/>
        <w:rPr>
          <w:color w:val="auto"/>
        </w:rPr>
      </w:pPr>
      <w:r w:rsidRPr="00FB1155">
        <w:rPr>
          <w:color w:val="auto"/>
        </w:rPr>
        <w:t xml:space="preserve">Projektinis pasiūlymas atitinka Veiksmų programos 8 prioriteto 8.6.1 konkretų uždavinį „Pagerinti vietines įsidarbinimo galimybes ir didinti bendruomenių socialinę integraciją, išnaudojant vietos bendruomenių, verslo ir vietos valdžios ryšius“ ir siekiamą rezultatą; </w:t>
      </w:r>
    </w:p>
    <w:p w14:paraId="77D138E5" w14:textId="5E94FD24" w:rsidR="00637D72" w:rsidRPr="00FB1155" w:rsidRDefault="00637D72" w:rsidP="00CE52FD">
      <w:pPr>
        <w:pStyle w:val="Default"/>
        <w:numPr>
          <w:ilvl w:val="1"/>
          <w:numId w:val="22"/>
        </w:numPr>
        <w:spacing w:before="120" w:after="120"/>
        <w:jc w:val="both"/>
        <w:rPr>
          <w:color w:val="auto"/>
        </w:rPr>
      </w:pPr>
      <w:r w:rsidRPr="00FB1155">
        <w:rPr>
          <w:color w:val="auto"/>
        </w:rPr>
        <w:t xml:space="preserve">Projektinis pasiūlymas atitinka priemonės 08.6.1-ESFA-V-911 PFSA nustatytus specialiuosius projektų atrankos kriterijus; </w:t>
      </w:r>
    </w:p>
    <w:p w14:paraId="3080A0B4" w14:textId="7242A80D" w:rsidR="00637D72" w:rsidRPr="00FB1155" w:rsidRDefault="00637D72" w:rsidP="00CE52FD">
      <w:pPr>
        <w:pStyle w:val="Default"/>
        <w:numPr>
          <w:ilvl w:val="1"/>
          <w:numId w:val="22"/>
        </w:numPr>
        <w:spacing w:before="120" w:after="120"/>
        <w:jc w:val="both"/>
        <w:rPr>
          <w:color w:val="auto"/>
        </w:rPr>
      </w:pPr>
      <w:r w:rsidRPr="00FB1155">
        <w:rPr>
          <w:color w:val="auto"/>
        </w:rPr>
        <w:t xml:space="preserve">Projektinis pasiūlymas atitinka (ar atitiks suėjus paraiškos pateikimo terminui) vietos plėtros projektų parengtumo sąlygas, nustatytas priemonės 08.6.1-ESFA-V-911 PFSA (jei tokios sąlygos nustatytos); </w:t>
      </w:r>
    </w:p>
    <w:p w14:paraId="51A1E870" w14:textId="0193CEDE" w:rsidR="00637D72" w:rsidRPr="00FB1155" w:rsidRDefault="00637D72" w:rsidP="00CE52FD">
      <w:pPr>
        <w:pStyle w:val="Default"/>
        <w:numPr>
          <w:ilvl w:val="1"/>
          <w:numId w:val="22"/>
        </w:numPr>
        <w:spacing w:before="120" w:after="120"/>
        <w:jc w:val="both"/>
        <w:rPr>
          <w:color w:val="auto"/>
        </w:rPr>
      </w:pPr>
      <w:r w:rsidRPr="00FB1155">
        <w:rPr>
          <w:color w:val="auto"/>
        </w:rPr>
        <w:t xml:space="preserve">Projektiniame pasiūlyme nurodytos veiklos atitinka priemonės 08.6.1-ESFA-V-911 PFSA numatytas finansuoti veiklas. </w:t>
      </w:r>
    </w:p>
    <w:p w14:paraId="4B5F02BA" w14:textId="07847996" w:rsidR="00637D72" w:rsidRPr="00FB1155" w:rsidRDefault="00637D72" w:rsidP="00CE52FD">
      <w:pPr>
        <w:pStyle w:val="Default"/>
        <w:numPr>
          <w:ilvl w:val="0"/>
          <w:numId w:val="7"/>
        </w:numPr>
        <w:spacing w:before="120" w:after="120"/>
        <w:jc w:val="both"/>
        <w:rPr>
          <w:color w:val="auto"/>
        </w:rPr>
      </w:pPr>
      <w:r w:rsidRPr="00FB1155">
        <w:rPr>
          <w:color w:val="auto"/>
        </w:rPr>
        <w:t xml:space="preserve">Projektinius pasiūlymus vertina Ministerijos Regioninės politikos departamento ne mažiau kaip du valstybės tarnautojai ar darbuotojai, dirbantys pagal darbo sutartis (toliau – Ministerijos atsakingi darbuotojai). </w:t>
      </w:r>
    </w:p>
    <w:p w14:paraId="16F884F2" w14:textId="29D62D82" w:rsidR="00637D72" w:rsidRPr="00FB1155" w:rsidRDefault="00637D72" w:rsidP="002F7CE1">
      <w:pPr>
        <w:pStyle w:val="Default"/>
        <w:numPr>
          <w:ilvl w:val="0"/>
          <w:numId w:val="7"/>
        </w:numPr>
        <w:spacing w:before="120" w:after="120"/>
        <w:jc w:val="both"/>
        <w:rPr>
          <w:color w:val="auto"/>
        </w:rPr>
      </w:pPr>
      <w:r w:rsidRPr="00FB1155">
        <w:rPr>
          <w:color w:val="auto"/>
        </w:rPr>
        <w:t xml:space="preserve">Ministerijos atsakingi darbuotojai, atliekantys Projektinių pasiūlymų vertinimą, atsižvelgdami į Projektinių pasiūlymų specifiką, gautų Projektinių pasiūlymų vertinimui gali pasitelkti kitų </w:t>
      </w:r>
      <w:r w:rsidRPr="00FB1155">
        <w:rPr>
          <w:color w:val="auto"/>
        </w:rPr>
        <w:lastRenderedPageBreak/>
        <w:t xml:space="preserve">Ministerijos padalinių valstybės tarnautojus ar darbuotojus, dirbančius pagal darbo sutartis, taip pat kitus specialistus, ekspertus. </w:t>
      </w:r>
    </w:p>
    <w:p w14:paraId="5710F68E" w14:textId="05E240BA" w:rsidR="00637D72" w:rsidRPr="00FB1155" w:rsidRDefault="00637D72" w:rsidP="002F7CE1">
      <w:pPr>
        <w:pStyle w:val="Default"/>
        <w:numPr>
          <w:ilvl w:val="0"/>
          <w:numId w:val="7"/>
        </w:numPr>
        <w:spacing w:before="120" w:after="120"/>
        <w:jc w:val="both"/>
        <w:rPr>
          <w:color w:val="auto"/>
        </w:rPr>
      </w:pPr>
      <w:r w:rsidRPr="00FB1155">
        <w:rPr>
          <w:color w:val="auto"/>
        </w:rPr>
        <w:t xml:space="preserve">Tuo atveju, jei Projektiniam pasiūlymui vertinti trūksta informacijos ir duomenų ar Projektiniame pasiūlyme yra netikslumų, Ministerijos atsakingi darbuotojai turi teisę raštu ar elektroniniu paštu </w:t>
      </w:r>
      <w:r w:rsidR="001B795F" w:rsidRPr="00FB1155">
        <w:rPr>
          <w:color w:val="auto"/>
        </w:rPr>
        <w:t>Anykščių</w:t>
      </w:r>
      <w:r w:rsidR="002F7CE1" w:rsidRPr="00FB1155">
        <w:rPr>
          <w:color w:val="auto"/>
        </w:rPr>
        <w:t xml:space="preserve"> miesto</w:t>
      </w:r>
      <w:r w:rsidRPr="00FB1155">
        <w:rPr>
          <w:color w:val="auto"/>
        </w:rPr>
        <w:t xml:space="preserve"> VVG paprašyti paaiškinti, papildyti ar patikslinti Projektiniame pasiūlyme pateiktą informaciją ir nustatyti terminą prašomai informacijai pateikti, kuris negali trumpesnis kaip 4 darbo dienos. </w:t>
      </w:r>
    </w:p>
    <w:p w14:paraId="40CF79BB" w14:textId="19563E74" w:rsidR="00637D72" w:rsidRPr="00FB1155" w:rsidRDefault="00637D72" w:rsidP="006D6E25">
      <w:pPr>
        <w:pStyle w:val="Default"/>
        <w:numPr>
          <w:ilvl w:val="0"/>
          <w:numId w:val="7"/>
        </w:numPr>
        <w:spacing w:before="120" w:after="120"/>
        <w:jc w:val="both"/>
        <w:rPr>
          <w:color w:val="auto"/>
        </w:rPr>
      </w:pPr>
      <w:r w:rsidRPr="00FB1155">
        <w:rPr>
          <w:color w:val="auto"/>
        </w:rPr>
        <w:t>Jei vertinant Projektinį pasiūlymą</w:t>
      </w:r>
      <w:r w:rsidR="002F7CE1" w:rsidRPr="00FB1155">
        <w:rPr>
          <w:color w:val="auto"/>
        </w:rPr>
        <w:t>,</w:t>
      </w:r>
      <w:r w:rsidRPr="00FB1155">
        <w:rPr>
          <w:color w:val="auto"/>
        </w:rPr>
        <w:t xml:space="preserve"> prašoma </w:t>
      </w:r>
      <w:r w:rsidR="001B795F" w:rsidRPr="00FB1155">
        <w:rPr>
          <w:color w:val="auto"/>
        </w:rPr>
        <w:t>Anykščių</w:t>
      </w:r>
      <w:r w:rsidR="002F7CE1" w:rsidRPr="00FB1155">
        <w:rPr>
          <w:color w:val="auto"/>
        </w:rPr>
        <w:t xml:space="preserve"> miesto</w:t>
      </w:r>
      <w:r w:rsidRPr="00FB1155">
        <w:rPr>
          <w:color w:val="auto"/>
        </w:rPr>
        <w:t xml:space="preserve"> VVG pateikti papildomą informaciją, kaip tai numatyta </w:t>
      </w:r>
      <w:r w:rsidR="006D6E25" w:rsidRPr="00FB1155">
        <w:rPr>
          <w:color w:val="auto"/>
        </w:rPr>
        <w:t xml:space="preserve">Strategijos įgyvendinimo </w:t>
      </w:r>
      <w:r w:rsidR="002F7CE1" w:rsidRPr="00FB1155">
        <w:rPr>
          <w:color w:val="auto"/>
        </w:rPr>
        <w:t xml:space="preserve">aprašo </w:t>
      </w:r>
      <w:r w:rsidRPr="00FB1155">
        <w:rPr>
          <w:color w:val="auto"/>
        </w:rPr>
        <w:t xml:space="preserve">37 punkte, vertinimo terminas gali būti pratęstas, bet ne ilgiau kaip 5 darbo dienas nuo </w:t>
      </w:r>
      <w:r w:rsidR="006D6E25" w:rsidRPr="00FB1155">
        <w:rPr>
          <w:color w:val="auto"/>
        </w:rPr>
        <w:t xml:space="preserve">Strategijos įgyvendinimo </w:t>
      </w:r>
      <w:r w:rsidR="002F7CE1" w:rsidRPr="00FB1155">
        <w:rPr>
          <w:color w:val="auto"/>
        </w:rPr>
        <w:t xml:space="preserve">aprašo </w:t>
      </w:r>
      <w:r w:rsidRPr="00FB1155">
        <w:rPr>
          <w:color w:val="auto"/>
        </w:rPr>
        <w:t xml:space="preserve">34 punkte nustatyto Projektinio pasiūlymo vertinimo termino pabaigos. Apie Projektinio pasiūlymo vertinimo termino pratęsimą Ministerijos atsakingi darbuotojai nedelsiant turi raštu ar elektroniniu paštu informuoti </w:t>
      </w:r>
      <w:r w:rsidR="002F7CE1" w:rsidRPr="00FB1155">
        <w:rPr>
          <w:color w:val="auto"/>
        </w:rPr>
        <w:t xml:space="preserve">Anykščių </w:t>
      </w:r>
      <w:r w:rsidRPr="00FB1155">
        <w:rPr>
          <w:color w:val="auto"/>
        </w:rPr>
        <w:t>miesto VVG ir nurodyt</w:t>
      </w:r>
      <w:r w:rsidR="002F7CE1" w:rsidRPr="00FB1155">
        <w:rPr>
          <w:color w:val="auto"/>
        </w:rPr>
        <w:t>i termino pratęsimo priežastis.</w:t>
      </w:r>
    </w:p>
    <w:p w14:paraId="5DF71164" w14:textId="2C7637CC" w:rsidR="00637D72" w:rsidRPr="00FB1155" w:rsidRDefault="00637D72" w:rsidP="006D6E25">
      <w:pPr>
        <w:pStyle w:val="Default"/>
        <w:numPr>
          <w:ilvl w:val="0"/>
          <w:numId w:val="7"/>
        </w:numPr>
        <w:spacing w:before="120" w:after="120"/>
        <w:jc w:val="both"/>
        <w:rPr>
          <w:color w:val="auto"/>
        </w:rPr>
      </w:pPr>
      <w:r w:rsidRPr="00FB1155">
        <w:rPr>
          <w:color w:val="auto"/>
        </w:rPr>
        <w:t>Jeigu atlikus Projektinio pasiūlymo vertinimą Ministerijos atsakingi darbuotoj</w:t>
      </w:r>
      <w:r w:rsidR="00434398" w:rsidRPr="00FB1155">
        <w:rPr>
          <w:color w:val="auto"/>
        </w:rPr>
        <w:t>ai nustato, kad vietos plėtros P</w:t>
      </w:r>
      <w:r w:rsidRPr="00FB1155">
        <w:rPr>
          <w:color w:val="auto"/>
        </w:rPr>
        <w:t xml:space="preserve">rojektas neatitinka bent vieno </w:t>
      </w:r>
      <w:r w:rsidR="006D6E25" w:rsidRPr="00FB1155">
        <w:rPr>
          <w:color w:val="auto"/>
        </w:rPr>
        <w:t xml:space="preserve">Strategijos įgyvendinimo </w:t>
      </w:r>
      <w:r w:rsidR="002F7CE1" w:rsidRPr="00FB1155">
        <w:rPr>
          <w:color w:val="auto"/>
        </w:rPr>
        <w:t xml:space="preserve">aprašo </w:t>
      </w:r>
      <w:r w:rsidRPr="00FB1155">
        <w:rPr>
          <w:color w:val="auto"/>
        </w:rPr>
        <w:t xml:space="preserve">34 punkte nustatyto reikalavimo, </w:t>
      </w:r>
      <w:r w:rsidR="007E53E6" w:rsidRPr="00FB1155">
        <w:rPr>
          <w:color w:val="auto"/>
        </w:rPr>
        <w:t>tai parengiama</w:t>
      </w:r>
      <w:r w:rsidR="00AD3361" w:rsidRPr="00FB1155">
        <w:rPr>
          <w:color w:val="auto"/>
        </w:rPr>
        <w:t xml:space="preserve"> </w:t>
      </w:r>
      <w:r w:rsidR="007E53E6" w:rsidRPr="00FB1155">
        <w:rPr>
          <w:color w:val="auto"/>
        </w:rPr>
        <w:t xml:space="preserve">Išvada dėl vietos plėtros projekto (forma pateikta </w:t>
      </w:r>
      <w:r w:rsidR="000324BD" w:rsidRPr="00FB1155">
        <w:rPr>
          <w:color w:val="auto"/>
        </w:rPr>
        <w:t>Strategijos įgyvendinimo</w:t>
      </w:r>
      <w:r w:rsidR="007E53E6" w:rsidRPr="00FB1155">
        <w:rPr>
          <w:color w:val="auto"/>
        </w:rPr>
        <w:t xml:space="preserve"> aprašo 3 priede), </w:t>
      </w:r>
      <w:r w:rsidRPr="00FB1155">
        <w:rPr>
          <w:color w:val="auto"/>
        </w:rPr>
        <w:t>kurioj</w:t>
      </w:r>
      <w:r w:rsidR="00434398" w:rsidRPr="00FB1155">
        <w:rPr>
          <w:color w:val="auto"/>
        </w:rPr>
        <w:t>e nurodoma, kad vietos plėtros P</w:t>
      </w:r>
      <w:r w:rsidRPr="00FB1155">
        <w:rPr>
          <w:color w:val="auto"/>
        </w:rPr>
        <w:t>rojektas negali būti įtrauktas į Ministerijos siūlomų finansuoti vie</w:t>
      </w:r>
      <w:r w:rsidR="00434398" w:rsidRPr="00FB1155">
        <w:rPr>
          <w:color w:val="auto"/>
        </w:rPr>
        <w:t>tos plėtros P</w:t>
      </w:r>
      <w:r w:rsidR="00AD3361" w:rsidRPr="00FB1155">
        <w:rPr>
          <w:color w:val="auto"/>
        </w:rPr>
        <w:t>rojektų sąrašą. Ministerijos Regioninės politikos departamento direktoriaus patvirtinta I</w:t>
      </w:r>
      <w:r w:rsidR="00434398" w:rsidRPr="00FB1155">
        <w:rPr>
          <w:color w:val="auto"/>
        </w:rPr>
        <w:t>švada dėl vietos plėtros P</w:t>
      </w:r>
      <w:r w:rsidR="00AD3361" w:rsidRPr="00FB1155">
        <w:rPr>
          <w:color w:val="auto"/>
        </w:rPr>
        <w:t xml:space="preserve">rojekto </w:t>
      </w:r>
      <w:r w:rsidRPr="00FB1155">
        <w:rPr>
          <w:color w:val="auto"/>
        </w:rPr>
        <w:t xml:space="preserve">ne vėliau kaip per 5 darbo dienas nuo Projektinio pasiūlymo vertinimo termino pabaigos raštu išsiunčiama </w:t>
      </w:r>
      <w:r w:rsidR="001B795F" w:rsidRPr="00FB1155">
        <w:rPr>
          <w:color w:val="auto"/>
        </w:rPr>
        <w:t>Anykščių</w:t>
      </w:r>
      <w:r w:rsidR="007E53E6" w:rsidRPr="00FB1155">
        <w:rPr>
          <w:color w:val="auto"/>
        </w:rPr>
        <w:t xml:space="preserve"> miesto</w:t>
      </w:r>
      <w:r w:rsidRPr="00FB1155">
        <w:rPr>
          <w:color w:val="auto"/>
        </w:rPr>
        <w:t xml:space="preserve"> VVG. </w:t>
      </w:r>
    </w:p>
    <w:p w14:paraId="6A632183" w14:textId="2E1F2061" w:rsidR="00637D72" w:rsidRPr="00FB1155" w:rsidRDefault="00637D72" w:rsidP="006D6E25">
      <w:pPr>
        <w:pStyle w:val="Default"/>
        <w:numPr>
          <w:ilvl w:val="0"/>
          <w:numId w:val="7"/>
        </w:numPr>
        <w:spacing w:before="120" w:after="120"/>
        <w:jc w:val="both"/>
        <w:rPr>
          <w:color w:val="auto"/>
        </w:rPr>
      </w:pPr>
      <w:r w:rsidRPr="00FB1155">
        <w:rPr>
          <w:color w:val="auto"/>
        </w:rPr>
        <w:t>Jeigu atlikus Projektinio pasiūlymo vertinimą Ministerijos atsakingi darbuotoj</w:t>
      </w:r>
      <w:r w:rsidR="00434398" w:rsidRPr="00FB1155">
        <w:rPr>
          <w:color w:val="auto"/>
        </w:rPr>
        <w:t>ai nustato, kad vietos plėtros P</w:t>
      </w:r>
      <w:r w:rsidRPr="00FB1155">
        <w:rPr>
          <w:color w:val="auto"/>
        </w:rPr>
        <w:t xml:space="preserve">rojektas atitinka visus </w:t>
      </w:r>
      <w:r w:rsidR="006D6E25" w:rsidRPr="00FB1155">
        <w:rPr>
          <w:color w:val="auto"/>
        </w:rPr>
        <w:t xml:space="preserve">Strategijos įgyvendinimo </w:t>
      </w:r>
      <w:r w:rsidR="00AD3361" w:rsidRPr="00FB1155">
        <w:rPr>
          <w:color w:val="auto"/>
        </w:rPr>
        <w:t xml:space="preserve">aprašo </w:t>
      </w:r>
      <w:r w:rsidRPr="00FB1155">
        <w:rPr>
          <w:color w:val="auto"/>
        </w:rPr>
        <w:t>34 punkte nustatytus reikalavimus, Ministerijos atsakingi darbuotojai parengia bei pateikia Ministerijos Regioninės politikos departamento direktoriui tvirt</w:t>
      </w:r>
      <w:r w:rsidR="00434398" w:rsidRPr="00FB1155">
        <w:rPr>
          <w:color w:val="auto"/>
        </w:rPr>
        <w:t>inti Išvadą dėl vietos plėtros P</w:t>
      </w:r>
      <w:r w:rsidRPr="00FB1155">
        <w:rPr>
          <w:color w:val="auto"/>
        </w:rPr>
        <w:t>rojekto, kuri</w:t>
      </w:r>
      <w:r w:rsidR="00434398" w:rsidRPr="00FB1155">
        <w:rPr>
          <w:color w:val="auto"/>
        </w:rPr>
        <w:t>oje nurodo, kad vietos plėtros P</w:t>
      </w:r>
      <w:r w:rsidRPr="00FB1155">
        <w:rPr>
          <w:color w:val="auto"/>
        </w:rPr>
        <w:t xml:space="preserve">rojektas atitinka visus </w:t>
      </w:r>
      <w:r w:rsidR="006D6E25" w:rsidRPr="00FB1155">
        <w:rPr>
          <w:color w:val="auto"/>
        </w:rPr>
        <w:t xml:space="preserve">Strategijos įgyvendinimo </w:t>
      </w:r>
      <w:r w:rsidR="004D34A8" w:rsidRPr="00FB1155">
        <w:rPr>
          <w:color w:val="auto"/>
        </w:rPr>
        <w:t xml:space="preserve">aprašo </w:t>
      </w:r>
      <w:r w:rsidRPr="00FB1155">
        <w:rPr>
          <w:color w:val="auto"/>
        </w:rPr>
        <w:t xml:space="preserve">34 punkte nustatytus reikalavimus ir gali būti įtraukiamas į Ministerijos siūlomų finansuoti vietos plėtros projektų sąrašą. </w:t>
      </w:r>
    </w:p>
    <w:p w14:paraId="780985EA" w14:textId="30B59BDA" w:rsidR="00637D72" w:rsidRPr="00FB1155" w:rsidRDefault="00637D72" w:rsidP="006D6E25">
      <w:pPr>
        <w:pStyle w:val="Default"/>
        <w:numPr>
          <w:ilvl w:val="0"/>
          <w:numId w:val="7"/>
        </w:numPr>
        <w:spacing w:before="120" w:after="120"/>
        <w:jc w:val="both"/>
        <w:rPr>
          <w:color w:val="auto"/>
        </w:rPr>
      </w:pPr>
      <w:r w:rsidRPr="00FB1155">
        <w:rPr>
          <w:color w:val="auto"/>
        </w:rPr>
        <w:t xml:space="preserve">Ministerijos atsakingi darbuotojai, atsižvelgdami į </w:t>
      </w:r>
      <w:r w:rsidR="006D6E25" w:rsidRPr="00FB1155">
        <w:rPr>
          <w:color w:val="auto"/>
        </w:rPr>
        <w:t xml:space="preserve">Strategijos įgyvendinimo </w:t>
      </w:r>
      <w:r w:rsidR="00AC72EC" w:rsidRPr="00FB1155">
        <w:rPr>
          <w:color w:val="auto"/>
        </w:rPr>
        <w:t xml:space="preserve">aprašo </w:t>
      </w:r>
      <w:r w:rsidRPr="00FB1155">
        <w:rPr>
          <w:color w:val="auto"/>
        </w:rPr>
        <w:t xml:space="preserve">40 punkte nurodytą išvadą, parengia Ministerijos siūlomų finansuoti vietos plėtros projektų sąrašo projektą ir teikia jį tvirtinti Lietuvos Respublikos vidaus reikalų ministrui. </w:t>
      </w:r>
    </w:p>
    <w:p w14:paraId="20634E5B" w14:textId="724428FC" w:rsidR="00637D72" w:rsidRPr="00FB1155" w:rsidRDefault="00637D72" w:rsidP="00AC72EC">
      <w:pPr>
        <w:pStyle w:val="Default"/>
        <w:numPr>
          <w:ilvl w:val="0"/>
          <w:numId w:val="7"/>
        </w:numPr>
        <w:spacing w:before="120" w:after="120"/>
        <w:jc w:val="both"/>
        <w:rPr>
          <w:color w:val="auto"/>
        </w:rPr>
      </w:pPr>
      <w:r w:rsidRPr="00FB1155">
        <w:rPr>
          <w:color w:val="auto"/>
        </w:rPr>
        <w:t xml:space="preserve">Patvirtinus Ministerijos siūlomų finansuoti vietos plėtros projektų sąrašą, Ministerija Projektų administravimo ir finansavimo taisyklėse nustatyta tvarka apie tai informuoja įgyvendinančiąją instituciją, </w:t>
      </w:r>
      <w:r w:rsidR="001B795F" w:rsidRPr="00FB1155">
        <w:rPr>
          <w:color w:val="auto"/>
        </w:rPr>
        <w:t>Anykščių</w:t>
      </w:r>
      <w:r w:rsidR="00AC72EC" w:rsidRPr="00FB1155">
        <w:rPr>
          <w:color w:val="auto"/>
        </w:rPr>
        <w:t xml:space="preserve"> miesto</w:t>
      </w:r>
      <w:r w:rsidRPr="00FB1155">
        <w:rPr>
          <w:color w:val="auto"/>
        </w:rPr>
        <w:t xml:space="preserve"> VVG ir atlieka kitus Projektų administravimo ir finansavimo taisyklių III skyriuje nustatytus veiksmus. </w:t>
      </w:r>
    </w:p>
    <w:p w14:paraId="1CC1C5B6" w14:textId="545F60C9" w:rsidR="00637D72" w:rsidRPr="00FB1155" w:rsidRDefault="00637D72" w:rsidP="00AC72EC">
      <w:pPr>
        <w:pStyle w:val="Default"/>
        <w:numPr>
          <w:ilvl w:val="0"/>
          <w:numId w:val="7"/>
        </w:numPr>
        <w:spacing w:before="120" w:after="120"/>
        <w:jc w:val="both"/>
        <w:rPr>
          <w:color w:val="auto"/>
        </w:rPr>
      </w:pPr>
      <w:r w:rsidRPr="00FB1155">
        <w:rPr>
          <w:color w:val="auto"/>
        </w:rPr>
        <w:t xml:space="preserve">Vietos plėtros projektų vykdytojai, kurių projektai įtraukti į Ministerijos siūlomų finansuoti vietos plėtros projektų sąrašą, įgyja teisę per Ministerijos siūlomų finansuoti vietos plėtros projektų sąraše nurodytą paraiškų teikimo terminą teikti paraišką finansuoti vietos plėtros projektą pagal priemonę 08.6.1-ESFA-V-911. </w:t>
      </w:r>
    </w:p>
    <w:p w14:paraId="09E824B5" w14:textId="3E29EC7D" w:rsidR="00637D72" w:rsidRPr="00FB1155" w:rsidRDefault="00F37799" w:rsidP="00001358">
      <w:pPr>
        <w:pStyle w:val="Heading2"/>
        <w:ind w:left="426" w:hanging="432"/>
        <w:rPr>
          <w:rFonts w:ascii="Times New Roman" w:hAnsi="Times New Roman"/>
          <w:szCs w:val="24"/>
        </w:rPr>
      </w:pPr>
      <w:bookmarkStart w:id="12" w:name="_Toc484547348"/>
      <w:r w:rsidRPr="00FB1155">
        <w:rPr>
          <w:rFonts w:ascii="Times New Roman" w:hAnsi="Times New Roman"/>
          <w:szCs w:val="24"/>
        </w:rPr>
        <w:lastRenderedPageBreak/>
        <w:t>VI. Skirsnis</w:t>
      </w:r>
      <w:r w:rsidR="00001358" w:rsidRPr="00FB1155">
        <w:rPr>
          <w:rFonts w:ascii="Times New Roman" w:hAnsi="Times New Roman"/>
          <w:szCs w:val="24"/>
        </w:rPr>
        <w:t>.</w:t>
      </w:r>
      <w:r w:rsidR="00637D72" w:rsidRPr="00FB1155">
        <w:rPr>
          <w:rFonts w:ascii="Times New Roman" w:hAnsi="Times New Roman"/>
          <w:szCs w:val="24"/>
        </w:rPr>
        <w:t xml:space="preserve"> </w:t>
      </w:r>
      <w:r w:rsidR="00001358" w:rsidRPr="00FB1155">
        <w:rPr>
          <w:rFonts w:ascii="Times New Roman" w:hAnsi="Times New Roman"/>
          <w:szCs w:val="24"/>
        </w:rPr>
        <w:t>Ministerijai siūlomų finansuoti vietos plėtros projektų sąrašų keitimas</w:t>
      </w:r>
      <w:bookmarkEnd w:id="12"/>
    </w:p>
    <w:p w14:paraId="34B299DC" w14:textId="77777777" w:rsidR="003A7937" w:rsidRPr="00FB1155" w:rsidRDefault="00637D72" w:rsidP="001B795F">
      <w:pPr>
        <w:pStyle w:val="Default"/>
        <w:numPr>
          <w:ilvl w:val="0"/>
          <w:numId w:val="7"/>
        </w:numPr>
        <w:spacing w:before="120" w:after="120"/>
        <w:jc w:val="both"/>
        <w:rPr>
          <w:color w:val="auto"/>
        </w:rPr>
      </w:pPr>
      <w:r w:rsidRPr="00FB1155">
        <w:rPr>
          <w:color w:val="auto"/>
        </w:rPr>
        <w:t>Patvirtintas Ministerijos siūlomų finansuoti vietos plėtros projektų są</w:t>
      </w:r>
      <w:r w:rsidR="003A7937" w:rsidRPr="00FB1155">
        <w:rPr>
          <w:color w:val="auto"/>
        </w:rPr>
        <w:t>rašas gali būti keičiamas, kai:</w:t>
      </w:r>
    </w:p>
    <w:p w14:paraId="6797F587" w14:textId="72D43537" w:rsidR="00637D72" w:rsidRPr="00FB1155" w:rsidRDefault="00637D72" w:rsidP="003A7937">
      <w:pPr>
        <w:pStyle w:val="Default"/>
        <w:numPr>
          <w:ilvl w:val="1"/>
          <w:numId w:val="23"/>
        </w:numPr>
        <w:spacing w:before="120" w:after="120"/>
        <w:jc w:val="both"/>
        <w:rPr>
          <w:color w:val="auto"/>
        </w:rPr>
      </w:pPr>
      <w:r w:rsidRPr="00FB1155">
        <w:rPr>
          <w:color w:val="auto"/>
        </w:rPr>
        <w:t xml:space="preserve">pasikeičia Veiksmų programa, </w:t>
      </w:r>
      <w:r w:rsidR="009B6EA5" w:rsidRPr="00FB1155">
        <w:rPr>
          <w:color w:val="auto"/>
        </w:rPr>
        <w:t>priemonių įgyvendinimo planas</w:t>
      </w:r>
      <w:r w:rsidRPr="00FB1155">
        <w:rPr>
          <w:color w:val="auto"/>
        </w:rPr>
        <w:t xml:space="preserve">, priemonių įgyvendinimo planas, </w:t>
      </w:r>
      <w:r w:rsidR="003A7937" w:rsidRPr="00FB1155">
        <w:rPr>
          <w:color w:val="auto"/>
        </w:rPr>
        <w:t>S</w:t>
      </w:r>
      <w:r w:rsidRPr="00FB1155">
        <w:rPr>
          <w:color w:val="auto"/>
        </w:rPr>
        <w:t xml:space="preserve">trategija ar kitų Europos Sąjungos ir Lietuvos Respublikos teisės aktų nuostatos, turinčios įtakos vietos plėtros projekto įgyvendinimui; </w:t>
      </w:r>
    </w:p>
    <w:p w14:paraId="4BB31C66" w14:textId="53FD45D8" w:rsidR="00637D72" w:rsidRPr="00FB1155" w:rsidRDefault="00637D72" w:rsidP="003A7937">
      <w:pPr>
        <w:pStyle w:val="Default"/>
        <w:numPr>
          <w:ilvl w:val="1"/>
          <w:numId w:val="23"/>
        </w:numPr>
        <w:spacing w:before="120" w:after="120"/>
        <w:jc w:val="both"/>
        <w:rPr>
          <w:color w:val="auto"/>
        </w:rPr>
      </w:pPr>
      <w:r w:rsidRPr="00FB1155">
        <w:rPr>
          <w:color w:val="auto"/>
        </w:rPr>
        <w:t xml:space="preserve">iš įgyvendinančiosios institucijos ir (arba) </w:t>
      </w:r>
      <w:r w:rsidR="001B795F" w:rsidRPr="00FB1155">
        <w:rPr>
          <w:color w:val="auto"/>
        </w:rPr>
        <w:t>Anykščių</w:t>
      </w:r>
      <w:r w:rsidR="003A7937" w:rsidRPr="00FB1155">
        <w:rPr>
          <w:color w:val="auto"/>
        </w:rPr>
        <w:t xml:space="preserve"> miesto</w:t>
      </w:r>
      <w:r w:rsidRPr="00FB1155">
        <w:rPr>
          <w:color w:val="auto"/>
        </w:rPr>
        <w:t xml:space="preserve"> VVG gavus pagrįstą prašymą dėl Ministerijos siūlomų finansuoti vietos plėtros projektų sąrašo keitimo. </w:t>
      </w:r>
    </w:p>
    <w:p w14:paraId="3CB6FBA8" w14:textId="24E15788" w:rsidR="003A7937" w:rsidRPr="00FB1155" w:rsidRDefault="00637D72" w:rsidP="006D6E25">
      <w:pPr>
        <w:pStyle w:val="Default"/>
        <w:numPr>
          <w:ilvl w:val="0"/>
          <w:numId w:val="7"/>
        </w:numPr>
        <w:spacing w:before="120" w:after="120"/>
        <w:jc w:val="both"/>
        <w:rPr>
          <w:color w:val="auto"/>
        </w:rPr>
      </w:pPr>
      <w:r w:rsidRPr="00FB1155">
        <w:rPr>
          <w:color w:val="auto"/>
        </w:rPr>
        <w:t xml:space="preserve">Esant bent vienai iš </w:t>
      </w:r>
      <w:r w:rsidR="006D6E25" w:rsidRPr="00FB1155">
        <w:rPr>
          <w:color w:val="auto"/>
        </w:rPr>
        <w:t xml:space="preserve">Strategijos įgyvendinimo </w:t>
      </w:r>
      <w:r w:rsidR="003A7937" w:rsidRPr="00FB1155">
        <w:rPr>
          <w:color w:val="auto"/>
        </w:rPr>
        <w:t xml:space="preserve">aprašo </w:t>
      </w:r>
      <w:r w:rsidRPr="00FB1155">
        <w:rPr>
          <w:color w:val="auto"/>
        </w:rPr>
        <w:t>44 punkte numatytų aplinkybių, patvirtintas Ministerijos siūlomų finansuoti vietos plėtros projek</w:t>
      </w:r>
      <w:r w:rsidR="003A7937" w:rsidRPr="00FB1155">
        <w:rPr>
          <w:color w:val="auto"/>
        </w:rPr>
        <w:t>tų sąrašas gali būti keičiamas:</w:t>
      </w:r>
    </w:p>
    <w:p w14:paraId="79FA7AA7" w14:textId="26F5D30F" w:rsidR="00637D72" w:rsidRPr="00FB1155" w:rsidRDefault="00637D72" w:rsidP="0040296B">
      <w:pPr>
        <w:pStyle w:val="Default"/>
        <w:numPr>
          <w:ilvl w:val="1"/>
          <w:numId w:val="24"/>
        </w:numPr>
        <w:spacing w:before="120" w:after="120"/>
        <w:jc w:val="both"/>
        <w:rPr>
          <w:color w:val="auto"/>
        </w:rPr>
      </w:pPr>
      <w:r w:rsidRPr="00FB1155">
        <w:rPr>
          <w:color w:val="auto"/>
        </w:rPr>
        <w:t xml:space="preserve">įtraukiant į Ministerijos siūlomų finansuoti vietos plėtros projektų sąrašą naują vietos plėtros projektą. Vietos plėtros projektas į Ministerijos siūlomų finansuoti vietos plėtros projektų sąrašą įtraukiamas vadovaujantis </w:t>
      </w:r>
      <w:r w:rsidR="0040296B" w:rsidRPr="00FB1155">
        <w:rPr>
          <w:color w:val="auto"/>
        </w:rPr>
        <w:t xml:space="preserve">Strategijos įgyvendinimo </w:t>
      </w:r>
      <w:r w:rsidR="003A7937" w:rsidRPr="00FB1155">
        <w:rPr>
          <w:color w:val="auto"/>
        </w:rPr>
        <w:t xml:space="preserve">aprašo </w:t>
      </w:r>
      <w:r w:rsidRPr="00FB1155">
        <w:rPr>
          <w:color w:val="auto"/>
        </w:rPr>
        <w:t xml:space="preserve">27 punktu ir </w:t>
      </w:r>
      <w:r w:rsidR="0040296B" w:rsidRPr="00FB1155">
        <w:rPr>
          <w:color w:val="auto"/>
        </w:rPr>
        <w:t xml:space="preserve">Strategijos įgyvendinimo </w:t>
      </w:r>
      <w:r w:rsidR="003A7937" w:rsidRPr="00FB1155">
        <w:rPr>
          <w:color w:val="auto"/>
        </w:rPr>
        <w:t xml:space="preserve">aprašo </w:t>
      </w:r>
      <w:r w:rsidR="000A0124" w:rsidRPr="00FB1155">
        <w:rPr>
          <w:color w:val="auto"/>
        </w:rPr>
        <w:t>II skyriau</w:t>
      </w:r>
      <w:r w:rsidR="003A7937" w:rsidRPr="00FB1155">
        <w:rPr>
          <w:color w:val="auto"/>
        </w:rPr>
        <w:t xml:space="preserve">s </w:t>
      </w:r>
      <w:r w:rsidRPr="00FB1155">
        <w:rPr>
          <w:color w:val="auto"/>
        </w:rPr>
        <w:t>penktajame skirsnyje nustatyta tvarka.</w:t>
      </w:r>
    </w:p>
    <w:p w14:paraId="19404B50" w14:textId="26825C7A" w:rsidR="00637D72" w:rsidRPr="00FB1155" w:rsidRDefault="00637D72" w:rsidP="000A0124">
      <w:pPr>
        <w:pStyle w:val="Default"/>
        <w:numPr>
          <w:ilvl w:val="1"/>
          <w:numId w:val="24"/>
        </w:numPr>
        <w:spacing w:before="120" w:after="120"/>
        <w:jc w:val="both"/>
        <w:rPr>
          <w:color w:val="auto"/>
        </w:rPr>
      </w:pPr>
      <w:r w:rsidRPr="00FB1155">
        <w:rPr>
          <w:color w:val="auto"/>
        </w:rPr>
        <w:t xml:space="preserve">išbraukiant iš Ministerijos siūlomų finansuoti vietos plėtros projektų sąrašo vietos plėtros projektą; </w:t>
      </w:r>
    </w:p>
    <w:p w14:paraId="5295EC3E" w14:textId="08606F12" w:rsidR="00637D72" w:rsidRPr="00FB1155" w:rsidRDefault="00637D72" w:rsidP="000A0124">
      <w:pPr>
        <w:pStyle w:val="Default"/>
        <w:numPr>
          <w:ilvl w:val="1"/>
          <w:numId w:val="24"/>
        </w:numPr>
        <w:spacing w:before="120" w:after="120"/>
        <w:jc w:val="both"/>
        <w:rPr>
          <w:color w:val="auto"/>
        </w:rPr>
      </w:pPr>
      <w:r w:rsidRPr="00FB1155">
        <w:rPr>
          <w:color w:val="auto"/>
        </w:rPr>
        <w:t xml:space="preserve">patikslinant patvirtintame Ministerijos siūlomų finansuoti vietos plėtros projektų sąraše esantį vietos plėtros projektą. </w:t>
      </w:r>
    </w:p>
    <w:p w14:paraId="5C94D87E" w14:textId="2E083158" w:rsidR="00637D72" w:rsidRPr="00FB1155" w:rsidRDefault="00637D72" w:rsidP="000A0124">
      <w:pPr>
        <w:pStyle w:val="Default"/>
        <w:numPr>
          <w:ilvl w:val="0"/>
          <w:numId w:val="7"/>
        </w:numPr>
        <w:spacing w:before="120" w:after="120"/>
        <w:jc w:val="both"/>
        <w:rPr>
          <w:color w:val="auto"/>
        </w:rPr>
      </w:pPr>
      <w:r w:rsidRPr="00FB1155">
        <w:rPr>
          <w:color w:val="auto"/>
        </w:rPr>
        <w:t xml:space="preserve">Ministerijos siūlomų finansuoti vietos plėtros projektų sąrašas nėra keičiamas Projektų administravimo ir finansavimo taisyklių 43 punkte nurodytais atvejais. </w:t>
      </w:r>
    </w:p>
    <w:p w14:paraId="6BDEF05F" w14:textId="3BD9A06F" w:rsidR="00637D72" w:rsidRPr="001F3DE5" w:rsidRDefault="007615B4" w:rsidP="007615B4">
      <w:pPr>
        <w:pStyle w:val="Heading1"/>
      </w:pPr>
      <w:bookmarkStart w:id="13" w:name="_Toc484547349"/>
      <w:r w:rsidRPr="007615B4">
        <w:lastRenderedPageBreak/>
        <w:t>Skyrius. Miesto vietos plėtros strategijos įgyvendinimo viešinimas, stebėsena, keitimas</w:t>
      </w:r>
      <w:bookmarkEnd w:id="13"/>
    </w:p>
    <w:p w14:paraId="564C8FF4" w14:textId="715C897B" w:rsidR="00637D72" w:rsidRPr="00FB1155" w:rsidRDefault="00F37799" w:rsidP="00001358">
      <w:pPr>
        <w:pStyle w:val="Heading2"/>
        <w:ind w:left="426" w:hanging="432"/>
        <w:rPr>
          <w:rFonts w:ascii="Times New Roman" w:hAnsi="Times New Roman"/>
          <w:szCs w:val="24"/>
        </w:rPr>
      </w:pPr>
      <w:bookmarkStart w:id="14" w:name="_Toc484547350"/>
      <w:r w:rsidRPr="00FB1155">
        <w:rPr>
          <w:rFonts w:ascii="Times New Roman" w:hAnsi="Times New Roman"/>
          <w:szCs w:val="24"/>
        </w:rPr>
        <w:t>I</w:t>
      </w:r>
      <w:r w:rsidR="00637D72" w:rsidRPr="00FB1155">
        <w:rPr>
          <w:rFonts w:ascii="Times New Roman" w:hAnsi="Times New Roman"/>
          <w:szCs w:val="24"/>
        </w:rPr>
        <w:t xml:space="preserve"> </w:t>
      </w:r>
      <w:r w:rsidRPr="00FB1155">
        <w:rPr>
          <w:rFonts w:ascii="Times New Roman" w:hAnsi="Times New Roman"/>
          <w:szCs w:val="24"/>
        </w:rPr>
        <w:t>Skirsnis</w:t>
      </w:r>
      <w:r w:rsidR="00001358" w:rsidRPr="00FB1155">
        <w:rPr>
          <w:rFonts w:ascii="Times New Roman" w:hAnsi="Times New Roman"/>
          <w:szCs w:val="24"/>
        </w:rPr>
        <w:t>.</w:t>
      </w:r>
      <w:r w:rsidR="00637D72" w:rsidRPr="00FB1155">
        <w:rPr>
          <w:rFonts w:ascii="Times New Roman" w:hAnsi="Times New Roman"/>
          <w:szCs w:val="24"/>
        </w:rPr>
        <w:t xml:space="preserve"> </w:t>
      </w:r>
      <w:r w:rsidR="008A263A">
        <w:rPr>
          <w:rFonts w:ascii="Times New Roman" w:hAnsi="Times New Roman"/>
          <w:szCs w:val="24"/>
        </w:rPr>
        <w:t>S</w:t>
      </w:r>
      <w:r w:rsidR="00001358" w:rsidRPr="00FB1155">
        <w:rPr>
          <w:rFonts w:ascii="Times New Roman" w:hAnsi="Times New Roman"/>
          <w:szCs w:val="24"/>
        </w:rPr>
        <w:t>trategijos įgyvendinimo viešinimas</w:t>
      </w:r>
      <w:bookmarkEnd w:id="14"/>
    </w:p>
    <w:p w14:paraId="523B65CC" w14:textId="3CB73D78" w:rsidR="00637D72" w:rsidRPr="00FB1155" w:rsidRDefault="001B795F" w:rsidP="00C806BB">
      <w:pPr>
        <w:pStyle w:val="Default"/>
        <w:numPr>
          <w:ilvl w:val="0"/>
          <w:numId w:val="7"/>
        </w:numPr>
        <w:spacing w:before="120" w:after="120"/>
        <w:jc w:val="both"/>
        <w:rPr>
          <w:color w:val="auto"/>
        </w:rPr>
      </w:pPr>
      <w:r w:rsidRPr="00FB1155">
        <w:rPr>
          <w:color w:val="auto"/>
        </w:rPr>
        <w:t>Anykščių</w:t>
      </w:r>
      <w:r w:rsidR="00C806BB" w:rsidRPr="00FB1155">
        <w:rPr>
          <w:color w:val="auto"/>
        </w:rPr>
        <w:t xml:space="preserve"> miesto</w:t>
      </w:r>
      <w:r w:rsidR="00637D72" w:rsidRPr="00FB1155">
        <w:rPr>
          <w:color w:val="auto"/>
        </w:rPr>
        <w:t xml:space="preserve"> VVG privalo viešinti Strategijos įgyvendinimą ir skatinti </w:t>
      </w:r>
      <w:r w:rsidRPr="00FB1155">
        <w:rPr>
          <w:color w:val="auto"/>
        </w:rPr>
        <w:t>Anykščių</w:t>
      </w:r>
      <w:r w:rsidR="00C806BB" w:rsidRPr="00FB1155">
        <w:rPr>
          <w:color w:val="auto"/>
        </w:rPr>
        <w:t xml:space="preserve"> miesto</w:t>
      </w:r>
      <w:r w:rsidR="00637D72" w:rsidRPr="00FB1155">
        <w:rPr>
          <w:color w:val="auto"/>
        </w:rPr>
        <w:t xml:space="preserve"> VVG veiklos teritorijos gyventojus ir šioje teritorijoje veiklą vykdančius juridinius asmenis dalyvauti Strategijos įgyvendinime. Viešinimas vykdomas visais bendruomenei prieinamais informaciniais kanalais (televizija, radijas, spauda ir kt.). </w:t>
      </w:r>
    </w:p>
    <w:p w14:paraId="457FB617" w14:textId="2188E0D5" w:rsidR="00150588" w:rsidRPr="00FB1155" w:rsidRDefault="001B795F" w:rsidP="001B795F">
      <w:pPr>
        <w:pStyle w:val="Default"/>
        <w:numPr>
          <w:ilvl w:val="0"/>
          <w:numId w:val="7"/>
        </w:numPr>
        <w:spacing w:before="120" w:after="120"/>
        <w:jc w:val="both"/>
        <w:rPr>
          <w:color w:val="auto"/>
        </w:rPr>
      </w:pPr>
      <w:r w:rsidRPr="00FB1155">
        <w:rPr>
          <w:color w:val="auto"/>
        </w:rPr>
        <w:t>Anykščių</w:t>
      </w:r>
      <w:r w:rsidR="00C806BB" w:rsidRPr="00FB1155">
        <w:rPr>
          <w:color w:val="auto"/>
        </w:rPr>
        <w:t xml:space="preserve"> miesto</w:t>
      </w:r>
      <w:r w:rsidR="00637D72" w:rsidRPr="00FB1155">
        <w:rPr>
          <w:color w:val="auto"/>
        </w:rPr>
        <w:t xml:space="preserve"> VVG Strategijos įgyvendinimo metu privalo viešinti Strategijos įgyvendinimo eigą ir rezultatus </w:t>
      </w:r>
      <w:r w:rsidRPr="00FB1155">
        <w:rPr>
          <w:color w:val="auto"/>
        </w:rPr>
        <w:t>Anykščių</w:t>
      </w:r>
      <w:r w:rsidR="00C806BB" w:rsidRPr="00FB1155">
        <w:rPr>
          <w:color w:val="auto"/>
        </w:rPr>
        <w:t xml:space="preserve"> miesto</w:t>
      </w:r>
      <w:r w:rsidR="008F4133" w:rsidRPr="00FB1155">
        <w:rPr>
          <w:color w:val="auto"/>
        </w:rPr>
        <w:t xml:space="preserve"> savivaldybės </w:t>
      </w:r>
      <w:r w:rsidR="00637D72" w:rsidRPr="00FB1155">
        <w:rPr>
          <w:color w:val="auto"/>
        </w:rPr>
        <w:t xml:space="preserve">interneto svetainėje </w:t>
      </w:r>
      <w:hyperlink r:id="rId15" w:history="1">
        <w:r w:rsidR="003527D5" w:rsidRPr="001A1C40">
          <w:rPr>
            <w:rStyle w:val="Hyperlink"/>
          </w:rPr>
          <w:t>https://www.anyksciai.lt</w:t>
        </w:r>
      </w:hyperlink>
      <w:r w:rsidR="003527D5">
        <w:rPr>
          <w:color w:val="auto"/>
        </w:rPr>
        <w:t xml:space="preserve"> arba (ir) pagal galimybes kitose </w:t>
      </w:r>
      <w:r w:rsidR="003527D5" w:rsidRPr="00FB1155">
        <w:rPr>
          <w:color w:val="auto"/>
        </w:rPr>
        <w:t>interneto svetainė</w:t>
      </w:r>
      <w:r w:rsidR="003527D5">
        <w:rPr>
          <w:color w:val="auto"/>
        </w:rPr>
        <w:t>se</w:t>
      </w:r>
      <w:r w:rsidR="00637D72" w:rsidRPr="00FB1155">
        <w:rPr>
          <w:color w:val="auto"/>
        </w:rPr>
        <w:t>, taip pat užtikrinti nuolatinį pateikiamos informacijos atnaujinimą. Strategijos įgyvendinimo viešinimas turi būti pradėtas ne vėliau kaip per 1 mėnesį nuo Strategijos įgyvendinimo administravimo projekto sutarties sudarymo. Interneto svetainėje turi būti skelbiama</w:t>
      </w:r>
      <w:r w:rsidR="00150588" w:rsidRPr="00FB1155">
        <w:rPr>
          <w:color w:val="auto"/>
        </w:rPr>
        <w:t>:</w:t>
      </w:r>
    </w:p>
    <w:tbl>
      <w:tblPr>
        <w:tblW w:w="9072"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6"/>
        <w:gridCol w:w="2563"/>
        <w:gridCol w:w="5953"/>
      </w:tblGrid>
      <w:tr w:rsidR="008A263A" w:rsidRPr="008A263A" w14:paraId="395F251C" w14:textId="77777777" w:rsidTr="009C202C">
        <w:tc>
          <w:tcPr>
            <w:tcW w:w="556" w:type="dxa"/>
            <w:shd w:val="clear" w:color="auto" w:fill="F2F2F2"/>
          </w:tcPr>
          <w:p w14:paraId="58C65D8A" w14:textId="77777777" w:rsidR="008A263A" w:rsidRPr="008A263A" w:rsidRDefault="008A263A" w:rsidP="009C202C">
            <w:pPr>
              <w:spacing w:before="120" w:after="120" w:line="240" w:lineRule="auto"/>
              <w:rPr>
                <w:rFonts w:ascii="Times New Roman" w:eastAsia="Times New Roman" w:hAnsi="Times New Roman" w:cs="Times New Roman"/>
                <w:b/>
                <w:sz w:val="24"/>
                <w:szCs w:val="24"/>
                <w:lang w:val="lt-LT"/>
              </w:rPr>
            </w:pPr>
            <w:r w:rsidRPr="008A263A">
              <w:rPr>
                <w:rFonts w:ascii="Times New Roman" w:eastAsia="Times New Roman" w:hAnsi="Times New Roman" w:cs="Times New Roman"/>
                <w:b/>
                <w:sz w:val="24"/>
                <w:szCs w:val="24"/>
                <w:lang w:val="lt-LT"/>
              </w:rPr>
              <w:t>Nr.</w:t>
            </w:r>
          </w:p>
        </w:tc>
        <w:tc>
          <w:tcPr>
            <w:tcW w:w="2563" w:type="dxa"/>
            <w:shd w:val="clear" w:color="auto" w:fill="F2F2F2"/>
          </w:tcPr>
          <w:p w14:paraId="4CFF4A4E" w14:textId="77777777" w:rsidR="008A263A" w:rsidRPr="008A263A" w:rsidRDefault="008A263A" w:rsidP="009C202C">
            <w:pPr>
              <w:spacing w:before="120" w:after="120" w:line="240" w:lineRule="auto"/>
              <w:rPr>
                <w:rFonts w:ascii="Times New Roman" w:eastAsia="Times New Roman" w:hAnsi="Times New Roman" w:cs="Times New Roman"/>
                <w:b/>
                <w:sz w:val="24"/>
                <w:szCs w:val="24"/>
                <w:lang w:val="lt-LT"/>
              </w:rPr>
            </w:pPr>
            <w:r w:rsidRPr="008A263A">
              <w:rPr>
                <w:rFonts w:ascii="Times New Roman" w:eastAsia="Times New Roman" w:hAnsi="Times New Roman" w:cs="Times New Roman"/>
                <w:b/>
                <w:sz w:val="24"/>
                <w:szCs w:val="24"/>
                <w:lang w:val="lt-LT"/>
              </w:rPr>
              <w:t>Pavadinimas</w:t>
            </w:r>
          </w:p>
        </w:tc>
        <w:tc>
          <w:tcPr>
            <w:tcW w:w="5953" w:type="dxa"/>
            <w:shd w:val="clear" w:color="auto" w:fill="F2F2F2"/>
          </w:tcPr>
          <w:p w14:paraId="78D25DA3" w14:textId="77777777" w:rsidR="008A263A" w:rsidRPr="008A263A" w:rsidRDefault="008A263A" w:rsidP="009C202C">
            <w:pPr>
              <w:spacing w:before="120" w:after="120" w:line="240" w:lineRule="auto"/>
              <w:rPr>
                <w:rFonts w:ascii="Times New Roman" w:eastAsia="Times New Roman" w:hAnsi="Times New Roman" w:cs="Times New Roman"/>
                <w:b/>
                <w:sz w:val="24"/>
                <w:szCs w:val="24"/>
                <w:lang w:val="lt-LT"/>
              </w:rPr>
            </w:pPr>
            <w:r w:rsidRPr="008A263A">
              <w:rPr>
                <w:rFonts w:ascii="Times New Roman" w:eastAsia="Times New Roman" w:hAnsi="Times New Roman" w:cs="Times New Roman"/>
                <w:b/>
                <w:sz w:val="24"/>
                <w:szCs w:val="24"/>
                <w:lang w:val="lt-LT"/>
              </w:rPr>
              <w:t>Komentaras</w:t>
            </w:r>
          </w:p>
        </w:tc>
      </w:tr>
      <w:tr w:rsidR="008A263A" w:rsidRPr="000F5242" w14:paraId="55B272D0" w14:textId="77777777" w:rsidTr="009C202C">
        <w:tc>
          <w:tcPr>
            <w:tcW w:w="556" w:type="dxa"/>
            <w:shd w:val="clear" w:color="auto" w:fill="auto"/>
          </w:tcPr>
          <w:p w14:paraId="121F766C"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5C0EB924" w14:textId="5715CA67" w:rsidR="008A263A" w:rsidRPr="008A263A" w:rsidRDefault="00C2196D" w:rsidP="009C202C">
            <w:pPr>
              <w:spacing w:before="120" w:after="12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w:t>
            </w:r>
            <w:r w:rsidR="008A263A" w:rsidRPr="008A263A">
              <w:rPr>
                <w:rFonts w:ascii="Times New Roman" w:eastAsia="Times New Roman" w:hAnsi="Times New Roman" w:cs="Times New Roman"/>
                <w:sz w:val="24"/>
                <w:szCs w:val="24"/>
                <w:lang w:val="lt-LT"/>
              </w:rPr>
              <w:t>trategija ir jos pakeitimai (jei tokių yra)</w:t>
            </w:r>
          </w:p>
        </w:tc>
        <w:tc>
          <w:tcPr>
            <w:tcW w:w="5953" w:type="dxa"/>
            <w:shd w:val="clear" w:color="auto" w:fill="auto"/>
          </w:tcPr>
          <w:p w14:paraId="3BE184DA" w14:textId="77777777"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Skelbiama „2016 – 2020 m. Anykščių miesto vietos plėtros strategijos“ aktuali redakcija.</w:t>
            </w:r>
          </w:p>
        </w:tc>
      </w:tr>
      <w:tr w:rsidR="008A263A" w:rsidRPr="000F5242" w14:paraId="3D35EA6B" w14:textId="77777777" w:rsidTr="009C202C">
        <w:tc>
          <w:tcPr>
            <w:tcW w:w="556" w:type="dxa"/>
            <w:shd w:val="clear" w:color="auto" w:fill="auto"/>
          </w:tcPr>
          <w:p w14:paraId="39EB8AAD"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1C33E505" w14:textId="09282626"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Anykščių miesto VVG narių sąrašas</w:t>
            </w:r>
          </w:p>
        </w:tc>
        <w:tc>
          <w:tcPr>
            <w:tcW w:w="5953" w:type="dxa"/>
            <w:shd w:val="clear" w:color="auto" w:fill="auto"/>
          </w:tcPr>
          <w:p w14:paraId="0DE59FF3" w14:textId="35EA8F34"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Skelbiamas Anykščių miesto VVG narių sąrašas (pagal atstovaujamą sektorių), nurodant jų vardus, pavardes ir atstovaujamą sektorių</w:t>
            </w:r>
            <w:r w:rsidRPr="008A263A">
              <w:rPr>
                <w:rStyle w:val="FootnoteReference"/>
                <w:rFonts w:ascii="Times New Roman" w:eastAsia="Times New Roman" w:hAnsi="Times New Roman" w:cs="Times New Roman"/>
                <w:sz w:val="24"/>
                <w:szCs w:val="24"/>
                <w:lang w:val="lt-LT"/>
              </w:rPr>
              <w:footnoteReference w:id="1"/>
            </w:r>
            <w:r w:rsidRPr="008A263A">
              <w:rPr>
                <w:rFonts w:ascii="Times New Roman" w:eastAsia="Times New Roman" w:hAnsi="Times New Roman" w:cs="Times New Roman"/>
                <w:sz w:val="24"/>
                <w:szCs w:val="24"/>
                <w:lang w:val="lt-LT"/>
              </w:rPr>
              <w:t xml:space="preserve">. </w:t>
            </w:r>
          </w:p>
        </w:tc>
      </w:tr>
      <w:tr w:rsidR="008A263A" w:rsidRPr="000F5242" w14:paraId="2E6AF9DE" w14:textId="77777777" w:rsidTr="009C202C">
        <w:tc>
          <w:tcPr>
            <w:tcW w:w="556" w:type="dxa"/>
            <w:shd w:val="clear" w:color="auto" w:fill="auto"/>
          </w:tcPr>
          <w:p w14:paraId="586EED1A"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328ADD4E" w14:textId="791CA689" w:rsidR="008A263A" w:rsidRPr="008A263A" w:rsidRDefault="00C2196D" w:rsidP="009C202C">
            <w:pPr>
              <w:spacing w:before="120" w:after="12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Asociacijos</w:t>
            </w:r>
            <w:r w:rsidR="008A263A" w:rsidRPr="008A263A">
              <w:rPr>
                <w:rFonts w:ascii="Times New Roman" w:eastAsia="Times New Roman" w:hAnsi="Times New Roman" w:cs="Times New Roman"/>
                <w:sz w:val="24"/>
                <w:szCs w:val="24"/>
                <w:lang w:val="lt-LT"/>
              </w:rPr>
              <w:t xml:space="preserve"> valdybos narių sąrašas</w:t>
            </w:r>
          </w:p>
        </w:tc>
        <w:tc>
          <w:tcPr>
            <w:tcW w:w="5953" w:type="dxa"/>
            <w:shd w:val="clear" w:color="auto" w:fill="auto"/>
          </w:tcPr>
          <w:p w14:paraId="1458D188" w14:textId="3195CB70"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Skelbiamas Anykščių miesto VVG valdybos narių sąrašas, nurodant jų vardus, pavardes ir atstovaujamą sektorių.</w:t>
            </w:r>
          </w:p>
        </w:tc>
      </w:tr>
      <w:tr w:rsidR="008A263A" w:rsidRPr="000F5242" w14:paraId="2B78C1BA" w14:textId="77777777" w:rsidTr="009C202C">
        <w:tc>
          <w:tcPr>
            <w:tcW w:w="556" w:type="dxa"/>
            <w:shd w:val="clear" w:color="auto" w:fill="auto"/>
          </w:tcPr>
          <w:p w14:paraId="59007A9C"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026C9F06" w14:textId="052C492D" w:rsidR="008A263A" w:rsidRPr="008A263A" w:rsidRDefault="00C2196D" w:rsidP="009C202C">
            <w:pPr>
              <w:spacing w:before="120" w:after="12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Asociacijos</w:t>
            </w:r>
            <w:r w:rsidR="008A263A" w:rsidRPr="008A263A">
              <w:rPr>
                <w:rFonts w:ascii="Times New Roman" w:eastAsia="Times New Roman" w:hAnsi="Times New Roman" w:cs="Times New Roman"/>
                <w:sz w:val="24"/>
                <w:szCs w:val="24"/>
                <w:lang w:val="lt-LT"/>
              </w:rPr>
              <w:t xml:space="preserve"> darbuotojų sąrašas</w:t>
            </w:r>
          </w:p>
        </w:tc>
        <w:tc>
          <w:tcPr>
            <w:tcW w:w="5953" w:type="dxa"/>
            <w:shd w:val="clear" w:color="auto" w:fill="auto"/>
          </w:tcPr>
          <w:p w14:paraId="1C1D4F52" w14:textId="6F515CD0" w:rsidR="008A263A" w:rsidRPr="008A263A" w:rsidRDefault="008A263A" w:rsidP="009C202C">
            <w:pPr>
              <w:spacing w:before="120" w:after="120" w:line="240" w:lineRule="auto"/>
              <w:ind w:left="60"/>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Skelbiamas Anykščių miesto VVG darbuotojų sąrašas, nurodant vardus, pavardes, užimamas pareigas ir kontaktinius duomenis (te</w:t>
            </w:r>
            <w:r w:rsidR="002205E9">
              <w:rPr>
                <w:rFonts w:ascii="Times New Roman" w:eastAsia="Times New Roman" w:hAnsi="Times New Roman" w:cs="Times New Roman"/>
                <w:sz w:val="24"/>
                <w:szCs w:val="24"/>
                <w:lang w:val="lt-LT"/>
              </w:rPr>
              <w:t>lefono Nr. ir el. pašto adresą)</w:t>
            </w:r>
            <w:r w:rsidRPr="008A263A">
              <w:rPr>
                <w:rFonts w:ascii="Times New Roman" w:eastAsia="Times New Roman" w:hAnsi="Times New Roman" w:cs="Times New Roman"/>
                <w:sz w:val="24"/>
                <w:szCs w:val="24"/>
                <w:lang w:val="lt-LT"/>
              </w:rPr>
              <w:t>.</w:t>
            </w:r>
          </w:p>
        </w:tc>
      </w:tr>
      <w:tr w:rsidR="008A263A" w:rsidRPr="000F5242" w14:paraId="342FC571" w14:textId="77777777" w:rsidTr="009C202C">
        <w:tc>
          <w:tcPr>
            <w:tcW w:w="556" w:type="dxa"/>
            <w:shd w:val="clear" w:color="auto" w:fill="auto"/>
          </w:tcPr>
          <w:p w14:paraId="52ACCB3F"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49FDFF16" w14:textId="106A1FB2"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Anykščių miesto VVG kontaktiniai duomenys</w:t>
            </w:r>
          </w:p>
        </w:tc>
        <w:tc>
          <w:tcPr>
            <w:tcW w:w="5953" w:type="dxa"/>
            <w:shd w:val="clear" w:color="auto" w:fill="auto"/>
          </w:tcPr>
          <w:p w14:paraId="302FC89C" w14:textId="07FC8C0F" w:rsidR="008A263A" w:rsidRPr="008A263A" w:rsidRDefault="008A263A" w:rsidP="009C202C">
            <w:pPr>
              <w:spacing w:before="120" w:after="120" w:line="240" w:lineRule="auto"/>
              <w:ind w:left="60"/>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Skelbiami Anykščių miesto VVG kontaktiniai duomenys (buveinės adresas, darbo laikas, telef</w:t>
            </w:r>
            <w:r w:rsidR="00C2196D">
              <w:rPr>
                <w:rFonts w:ascii="Times New Roman" w:eastAsia="Times New Roman" w:hAnsi="Times New Roman" w:cs="Times New Roman"/>
                <w:sz w:val="24"/>
                <w:szCs w:val="24"/>
                <w:lang w:val="lt-LT"/>
              </w:rPr>
              <w:t>ono Nr., el. pašto adresas).</w:t>
            </w:r>
          </w:p>
        </w:tc>
      </w:tr>
      <w:tr w:rsidR="008A263A" w:rsidRPr="000F5242" w14:paraId="4DA8857A" w14:textId="77777777" w:rsidTr="009C202C">
        <w:tc>
          <w:tcPr>
            <w:tcW w:w="556" w:type="dxa"/>
            <w:shd w:val="clear" w:color="auto" w:fill="auto"/>
          </w:tcPr>
          <w:p w14:paraId="27B63F71"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15AC9F28" w14:textId="2DCFAE03"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Priėmimo į Anykščių miesto VVG tvarka</w:t>
            </w:r>
          </w:p>
        </w:tc>
        <w:tc>
          <w:tcPr>
            <w:tcW w:w="5953" w:type="dxa"/>
            <w:shd w:val="clear" w:color="auto" w:fill="auto"/>
          </w:tcPr>
          <w:p w14:paraId="1A62717D" w14:textId="4842FC09" w:rsidR="008A263A" w:rsidRPr="008A263A" w:rsidRDefault="002205E9" w:rsidP="009C202C">
            <w:pPr>
              <w:spacing w:before="120" w:after="12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Skelbiama</w:t>
            </w:r>
            <w:r w:rsidR="008A263A" w:rsidRPr="008A263A">
              <w:rPr>
                <w:rFonts w:ascii="Times New Roman" w:eastAsia="Times New Roman" w:hAnsi="Times New Roman" w:cs="Times New Roman"/>
                <w:sz w:val="24"/>
                <w:szCs w:val="24"/>
                <w:lang w:val="lt-LT"/>
              </w:rPr>
              <w:t xml:space="preserve"> priėmimo į Anykščių miesto VVG </w:t>
            </w:r>
            <w:r>
              <w:rPr>
                <w:rFonts w:ascii="Times New Roman" w:eastAsia="Times New Roman" w:hAnsi="Times New Roman" w:cs="Times New Roman"/>
                <w:sz w:val="24"/>
                <w:szCs w:val="24"/>
                <w:lang w:val="lt-LT"/>
              </w:rPr>
              <w:t>tvarka.</w:t>
            </w:r>
          </w:p>
        </w:tc>
      </w:tr>
      <w:tr w:rsidR="008A263A" w:rsidRPr="000F5242" w14:paraId="57057741" w14:textId="77777777" w:rsidTr="009C202C">
        <w:tc>
          <w:tcPr>
            <w:tcW w:w="556" w:type="dxa"/>
            <w:shd w:val="clear" w:color="auto" w:fill="auto"/>
          </w:tcPr>
          <w:p w14:paraId="55157495"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33265B1C" w14:textId="1990D61F"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Kvietimai teikti </w:t>
            </w:r>
            <w:r w:rsidR="00C2196D">
              <w:rPr>
                <w:rFonts w:ascii="Times New Roman" w:eastAsia="Times New Roman" w:hAnsi="Times New Roman" w:cs="Times New Roman"/>
                <w:sz w:val="24"/>
                <w:szCs w:val="24"/>
                <w:lang w:val="lt-LT"/>
              </w:rPr>
              <w:t>Projektinius</w:t>
            </w:r>
            <w:r w:rsidRPr="008A263A">
              <w:rPr>
                <w:rFonts w:ascii="Times New Roman" w:eastAsia="Times New Roman" w:hAnsi="Times New Roman" w:cs="Times New Roman"/>
                <w:sz w:val="24"/>
                <w:szCs w:val="24"/>
                <w:lang w:val="lt-LT"/>
              </w:rPr>
              <w:t xml:space="preserve"> </w:t>
            </w:r>
            <w:r w:rsidR="00C2196D">
              <w:rPr>
                <w:rFonts w:ascii="Times New Roman" w:eastAsia="Times New Roman" w:hAnsi="Times New Roman" w:cs="Times New Roman"/>
                <w:sz w:val="24"/>
                <w:szCs w:val="24"/>
                <w:lang w:val="lt-LT"/>
              </w:rPr>
              <w:t>pasiūlymus</w:t>
            </w:r>
          </w:p>
        </w:tc>
        <w:tc>
          <w:tcPr>
            <w:tcW w:w="5953" w:type="dxa"/>
            <w:shd w:val="clear" w:color="auto" w:fill="auto"/>
          </w:tcPr>
          <w:p w14:paraId="618218FC" w14:textId="388E0B64" w:rsidR="008A263A" w:rsidRPr="008A263A" w:rsidRDefault="008A263A" w:rsidP="009C202C">
            <w:pPr>
              <w:spacing w:before="120" w:after="120" w:line="240" w:lineRule="auto"/>
              <w:ind w:left="60"/>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Skelbiami kvietimai teikti </w:t>
            </w:r>
            <w:r w:rsidR="00C2196D">
              <w:rPr>
                <w:rFonts w:ascii="Times New Roman" w:eastAsia="Times New Roman" w:hAnsi="Times New Roman" w:cs="Times New Roman"/>
                <w:sz w:val="24"/>
                <w:szCs w:val="24"/>
                <w:lang w:val="lt-LT"/>
              </w:rPr>
              <w:t>Projektinius</w:t>
            </w:r>
            <w:r w:rsidR="00C2196D" w:rsidRPr="008A263A">
              <w:rPr>
                <w:rFonts w:ascii="Times New Roman" w:eastAsia="Times New Roman" w:hAnsi="Times New Roman" w:cs="Times New Roman"/>
                <w:sz w:val="24"/>
                <w:szCs w:val="24"/>
                <w:lang w:val="lt-LT"/>
              </w:rPr>
              <w:t xml:space="preserve"> </w:t>
            </w:r>
            <w:r w:rsidR="00C2196D">
              <w:rPr>
                <w:rFonts w:ascii="Times New Roman" w:eastAsia="Times New Roman" w:hAnsi="Times New Roman" w:cs="Times New Roman"/>
                <w:sz w:val="24"/>
                <w:szCs w:val="24"/>
                <w:lang w:val="lt-LT"/>
              </w:rPr>
              <w:t>pasiūlymus</w:t>
            </w:r>
            <w:r w:rsidR="00C2196D" w:rsidRPr="008A263A">
              <w:rPr>
                <w:rFonts w:ascii="Times New Roman" w:eastAsia="Times New Roman" w:hAnsi="Times New Roman" w:cs="Times New Roman"/>
                <w:sz w:val="24"/>
                <w:szCs w:val="24"/>
                <w:lang w:val="lt-LT"/>
              </w:rPr>
              <w:t xml:space="preserve"> </w:t>
            </w:r>
            <w:r w:rsidRPr="008A263A">
              <w:rPr>
                <w:rFonts w:ascii="Times New Roman" w:eastAsia="Times New Roman" w:hAnsi="Times New Roman" w:cs="Times New Roman"/>
                <w:sz w:val="24"/>
                <w:szCs w:val="24"/>
                <w:lang w:val="lt-LT"/>
              </w:rPr>
              <w:t xml:space="preserve">ir </w:t>
            </w:r>
            <w:r w:rsidR="002205E9">
              <w:rPr>
                <w:rFonts w:ascii="Times New Roman" w:eastAsia="Times New Roman" w:hAnsi="Times New Roman" w:cs="Times New Roman"/>
                <w:sz w:val="24"/>
                <w:szCs w:val="24"/>
                <w:lang w:val="lt-LT"/>
              </w:rPr>
              <w:t>su kvietimais susiję dokumentai</w:t>
            </w:r>
            <w:r w:rsidRPr="008A263A">
              <w:rPr>
                <w:rFonts w:ascii="Times New Roman" w:eastAsia="Times New Roman" w:hAnsi="Times New Roman" w:cs="Times New Roman"/>
                <w:sz w:val="24"/>
                <w:szCs w:val="24"/>
                <w:lang w:val="lt-LT"/>
              </w:rPr>
              <w:t>.</w:t>
            </w:r>
          </w:p>
        </w:tc>
      </w:tr>
      <w:tr w:rsidR="008A263A" w:rsidRPr="000F5242" w14:paraId="2AE61C4F" w14:textId="77777777" w:rsidTr="009C202C">
        <w:tc>
          <w:tcPr>
            <w:tcW w:w="556" w:type="dxa"/>
            <w:shd w:val="clear" w:color="auto" w:fill="auto"/>
          </w:tcPr>
          <w:p w14:paraId="07BCCE2F"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713EA52E" w14:textId="0C891DEC" w:rsidR="008A263A" w:rsidRPr="008A263A" w:rsidRDefault="00C2196D" w:rsidP="009C202C">
            <w:pPr>
              <w:spacing w:before="120" w:after="12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Projektinių</w:t>
            </w:r>
            <w:r w:rsidRPr="008A263A">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pasiūlymų</w:t>
            </w:r>
            <w:r w:rsidRPr="008A263A">
              <w:rPr>
                <w:rFonts w:ascii="Times New Roman" w:eastAsia="Times New Roman" w:hAnsi="Times New Roman" w:cs="Times New Roman"/>
                <w:sz w:val="24"/>
                <w:szCs w:val="24"/>
                <w:lang w:val="lt-LT"/>
              </w:rPr>
              <w:t xml:space="preserve"> </w:t>
            </w:r>
            <w:r w:rsidR="008A263A" w:rsidRPr="008A263A">
              <w:rPr>
                <w:rFonts w:ascii="Times New Roman" w:eastAsia="Times New Roman" w:hAnsi="Times New Roman" w:cs="Times New Roman"/>
                <w:sz w:val="24"/>
                <w:szCs w:val="24"/>
                <w:lang w:val="lt-LT"/>
              </w:rPr>
              <w:t>vertinimo rezultatai</w:t>
            </w:r>
          </w:p>
        </w:tc>
        <w:tc>
          <w:tcPr>
            <w:tcW w:w="5953" w:type="dxa"/>
            <w:shd w:val="clear" w:color="auto" w:fill="auto"/>
          </w:tcPr>
          <w:p w14:paraId="0B53DA30" w14:textId="3A973D52" w:rsidR="008A263A" w:rsidRPr="008A263A" w:rsidRDefault="008A263A" w:rsidP="009C202C">
            <w:pPr>
              <w:spacing w:before="120" w:after="120" w:line="240" w:lineRule="auto"/>
              <w:ind w:left="60"/>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Skelbiami </w:t>
            </w:r>
            <w:r w:rsidR="00C2196D">
              <w:rPr>
                <w:rFonts w:ascii="Times New Roman" w:eastAsia="Times New Roman" w:hAnsi="Times New Roman" w:cs="Times New Roman"/>
                <w:sz w:val="24"/>
                <w:szCs w:val="24"/>
                <w:lang w:val="lt-LT"/>
              </w:rPr>
              <w:t>Projektinių</w:t>
            </w:r>
            <w:r w:rsidR="00C2196D" w:rsidRPr="008A263A">
              <w:rPr>
                <w:rFonts w:ascii="Times New Roman" w:eastAsia="Times New Roman" w:hAnsi="Times New Roman" w:cs="Times New Roman"/>
                <w:sz w:val="24"/>
                <w:szCs w:val="24"/>
                <w:lang w:val="lt-LT"/>
              </w:rPr>
              <w:t xml:space="preserve"> </w:t>
            </w:r>
            <w:r w:rsidR="00C2196D">
              <w:rPr>
                <w:rFonts w:ascii="Times New Roman" w:eastAsia="Times New Roman" w:hAnsi="Times New Roman" w:cs="Times New Roman"/>
                <w:sz w:val="24"/>
                <w:szCs w:val="24"/>
                <w:lang w:val="lt-LT"/>
              </w:rPr>
              <w:t xml:space="preserve">pasiūlymų </w:t>
            </w:r>
            <w:r w:rsidR="002205E9">
              <w:rPr>
                <w:rFonts w:ascii="Times New Roman" w:eastAsia="Times New Roman" w:hAnsi="Times New Roman" w:cs="Times New Roman"/>
                <w:sz w:val="24"/>
                <w:szCs w:val="24"/>
                <w:lang w:val="lt-LT"/>
              </w:rPr>
              <w:t>vertinimo rezultatai.</w:t>
            </w:r>
          </w:p>
        </w:tc>
      </w:tr>
      <w:tr w:rsidR="008A263A" w:rsidRPr="000F5242" w14:paraId="58E1BC4E" w14:textId="77777777" w:rsidTr="009C202C">
        <w:tc>
          <w:tcPr>
            <w:tcW w:w="556" w:type="dxa"/>
            <w:shd w:val="clear" w:color="auto" w:fill="auto"/>
          </w:tcPr>
          <w:p w14:paraId="58D8D75E"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11CB14BB" w14:textId="16131B8A" w:rsidR="008A263A" w:rsidRPr="008A263A" w:rsidRDefault="00C2196D" w:rsidP="009C202C">
            <w:pPr>
              <w:spacing w:before="120" w:after="12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Projektinių</w:t>
            </w:r>
            <w:r w:rsidRPr="008A263A">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pasiūlymų</w:t>
            </w:r>
            <w:r w:rsidRPr="008A263A">
              <w:rPr>
                <w:rFonts w:ascii="Times New Roman" w:eastAsia="Times New Roman" w:hAnsi="Times New Roman" w:cs="Times New Roman"/>
                <w:sz w:val="24"/>
                <w:szCs w:val="24"/>
                <w:lang w:val="lt-LT"/>
              </w:rPr>
              <w:t xml:space="preserve"> </w:t>
            </w:r>
            <w:r w:rsidR="008A263A" w:rsidRPr="008A263A">
              <w:rPr>
                <w:rFonts w:ascii="Times New Roman" w:eastAsia="Times New Roman" w:hAnsi="Times New Roman" w:cs="Times New Roman"/>
                <w:sz w:val="24"/>
                <w:szCs w:val="24"/>
                <w:lang w:val="lt-LT"/>
              </w:rPr>
              <w:t>tvirtinimo rezultatai</w:t>
            </w:r>
          </w:p>
        </w:tc>
        <w:tc>
          <w:tcPr>
            <w:tcW w:w="5953" w:type="dxa"/>
            <w:shd w:val="clear" w:color="auto" w:fill="auto"/>
          </w:tcPr>
          <w:p w14:paraId="36E70CC5" w14:textId="01BBC9C7" w:rsidR="008A263A" w:rsidRPr="008A263A" w:rsidRDefault="008A263A" w:rsidP="009C202C">
            <w:pPr>
              <w:spacing w:before="120" w:after="120" w:line="240" w:lineRule="auto"/>
              <w:ind w:left="60"/>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Skelbiami </w:t>
            </w:r>
            <w:r w:rsidR="00C2196D">
              <w:rPr>
                <w:rFonts w:ascii="Times New Roman" w:eastAsia="Times New Roman" w:hAnsi="Times New Roman" w:cs="Times New Roman"/>
                <w:sz w:val="24"/>
                <w:szCs w:val="24"/>
                <w:lang w:val="lt-LT"/>
              </w:rPr>
              <w:t>Projektinių</w:t>
            </w:r>
            <w:r w:rsidR="00C2196D" w:rsidRPr="008A263A">
              <w:rPr>
                <w:rFonts w:ascii="Times New Roman" w:eastAsia="Times New Roman" w:hAnsi="Times New Roman" w:cs="Times New Roman"/>
                <w:sz w:val="24"/>
                <w:szCs w:val="24"/>
                <w:lang w:val="lt-LT"/>
              </w:rPr>
              <w:t xml:space="preserve"> </w:t>
            </w:r>
            <w:r w:rsidR="00C2196D">
              <w:rPr>
                <w:rFonts w:ascii="Times New Roman" w:eastAsia="Times New Roman" w:hAnsi="Times New Roman" w:cs="Times New Roman"/>
                <w:sz w:val="24"/>
                <w:szCs w:val="24"/>
                <w:lang w:val="lt-LT"/>
              </w:rPr>
              <w:t>pasiūlymų</w:t>
            </w:r>
            <w:r w:rsidR="00C2196D" w:rsidRPr="008A263A">
              <w:rPr>
                <w:rFonts w:ascii="Times New Roman" w:eastAsia="Times New Roman" w:hAnsi="Times New Roman" w:cs="Times New Roman"/>
                <w:sz w:val="24"/>
                <w:szCs w:val="24"/>
                <w:lang w:val="lt-LT"/>
              </w:rPr>
              <w:t xml:space="preserve"> </w:t>
            </w:r>
            <w:r w:rsidRPr="008A263A">
              <w:rPr>
                <w:rFonts w:ascii="Times New Roman" w:eastAsia="Times New Roman" w:hAnsi="Times New Roman" w:cs="Times New Roman"/>
                <w:sz w:val="24"/>
                <w:szCs w:val="24"/>
                <w:lang w:val="lt-LT"/>
              </w:rPr>
              <w:t>tvirtinimo rezu</w:t>
            </w:r>
            <w:r w:rsidR="002205E9">
              <w:rPr>
                <w:rFonts w:ascii="Times New Roman" w:eastAsia="Times New Roman" w:hAnsi="Times New Roman" w:cs="Times New Roman"/>
                <w:sz w:val="24"/>
                <w:szCs w:val="24"/>
                <w:lang w:val="lt-LT"/>
              </w:rPr>
              <w:t>ltatai.</w:t>
            </w:r>
          </w:p>
        </w:tc>
      </w:tr>
      <w:tr w:rsidR="008A263A" w:rsidRPr="008A263A" w14:paraId="338F3F08" w14:textId="77777777" w:rsidTr="009C202C">
        <w:tc>
          <w:tcPr>
            <w:tcW w:w="556" w:type="dxa"/>
            <w:shd w:val="clear" w:color="auto" w:fill="auto"/>
          </w:tcPr>
          <w:p w14:paraId="6701D4E6"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4C517038" w14:textId="442E2143"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Vykdomi </w:t>
            </w:r>
            <w:r w:rsidR="00C2196D">
              <w:rPr>
                <w:rFonts w:ascii="Times New Roman" w:eastAsia="Times New Roman" w:hAnsi="Times New Roman" w:cs="Times New Roman"/>
                <w:sz w:val="24"/>
                <w:szCs w:val="24"/>
                <w:lang w:val="lt-LT"/>
              </w:rPr>
              <w:t>P</w:t>
            </w:r>
            <w:r w:rsidRPr="008A263A">
              <w:rPr>
                <w:rFonts w:ascii="Times New Roman" w:eastAsia="Times New Roman" w:hAnsi="Times New Roman" w:cs="Times New Roman"/>
                <w:sz w:val="24"/>
                <w:szCs w:val="24"/>
                <w:lang w:val="lt-LT"/>
              </w:rPr>
              <w:t>rojektai</w:t>
            </w:r>
          </w:p>
        </w:tc>
        <w:tc>
          <w:tcPr>
            <w:tcW w:w="5953" w:type="dxa"/>
            <w:shd w:val="clear" w:color="auto" w:fill="auto"/>
          </w:tcPr>
          <w:p w14:paraId="6B4AE710" w14:textId="51210AF1" w:rsidR="008A263A" w:rsidRPr="008A263A" w:rsidRDefault="008A263A" w:rsidP="009C202C">
            <w:pPr>
              <w:spacing w:before="120" w:after="120" w:line="240" w:lineRule="auto"/>
              <w:ind w:left="60"/>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Skelbiama informacija apie vykdomus</w:t>
            </w:r>
            <w:r w:rsidR="002205E9">
              <w:rPr>
                <w:rFonts w:ascii="Times New Roman" w:eastAsia="Times New Roman" w:hAnsi="Times New Roman" w:cs="Times New Roman"/>
                <w:sz w:val="24"/>
                <w:szCs w:val="24"/>
                <w:lang w:val="lt-LT"/>
              </w:rPr>
              <w:t xml:space="preserve"> Projektus.</w:t>
            </w:r>
          </w:p>
        </w:tc>
      </w:tr>
      <w:tr w:rsidR="008A263A" w:rsidRPr="000F5242" w14:paraId="30F0769C" w14:textId="77777777" w:rsidTr="009C202C">
        <w:tc>
          <w:tcPr>
            <w:tcW w:w="556" w:type="dxa"/>
            <w:shd w:val="clear" w:color="auto" w:fill="auto"/>
          </w:tcPr>
          <w:p w14:paraId="1971F73E"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4426B720" w14:textId="31ADE793"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Įgyvendintus </w:t>
            </w:r>
            <w:r w:rsidR="00C2196D">
              <w:rPr>
                <w:rFonts w:ascii="Times New Roman" w:eastAsia="Times New Roman" w:hAnsi="Times New Roman" w:cs="Times New Roman"/>
                <w:sz w:val="24"/>
                <w:szCs w:val="24"/>
                <w:lang w:val="lt-LT"/>
              </w:rPr>
              <w:t>P</w:t>
            </w:r>
            <w:r w:rsidRPr="008A263A">
              <w:rPr>
                <w:rFonts w:ascii="Times New Roman" w:eastAsia="Times New Roman" w:hAnsi="Times New Roman" w:cs="Times New Roman"/>
                <w:sz w:val="24"/>
                <w:szCs w:val="24"/>
                <w:lang w:val="lt-LT"/>
              </w:rPr>
              <w:t>rojektai</w:t>
            </w:r>
          </w:p>
        </w:tc>
        <w:tc>
          <w:tcPr>
            <w:tcW w:w="5953" w:type="dxa"/>
            <w:shd w:val="clear" w:color="auto" w:fill="auto"/>
          </w:tcPr>
          <w:p w14:paraId="1C4C29E8" w14:textId="1FEC738A" w:rsidR="008A263A" w:rsidRPr="008A263A" w:rsidRDefault="008A263A" w:rsidP="009C202C">
            <w:pPr>
              <w:spacing w:before="120" w:after="120" w:line="240" w:lineRule="auto"/>
              <w:ind w:left="60"/>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Skelbiama informacija apie įgyvendintus </w:t>
            </w:r>
            <w:r w:rsidR="002205E9">
              <w:rPr>
                <w:rFonts w:ascii="Times New Roman" w:eastAsia="Times New Roman" w:hAnsi="Times New Roman" w:cs="Times New Roman"/>
                <w:sz w:val="24"/>
                <w:szCs w:val="24"/>
                <w:lang w:val="lt-LT"/>
              </w:rPr>
              <w:t>P</w:t>
            </w:r>
            <w:r w:rsidRPr="008A263A">
              <w:rPr>
                <w:rFonts w:ascii="Times New Roman" w:eastAsia="Times New Roman" w:hAnsi="Times New Roman" w:cs="Times New Roman"/>
                <w:sz w:val="24"/>
                <w:szCs w:val="24"/>
                <w:lang w:val="lt-LT"/>
              </w:rPr>
              <w:t>r</w:t>
            </w:r>
            <w:r w:rsidR="002205E9">
              <w:rPr>
                <w:rFonts w:ascii="Times New Roman" w:eastAsia="Times New Roman" w:hAnsi="Times New Roman" w:cs="Times New Roman"/>
                <w:sz w:val="24"/>
                <w:szCs w:val="24"/>
                <w:lang w:val="lt-LT"/>
              </w:rPr>
              <w:t>ojektus</w:t>
            </w:r>
            <w:r w:rsidRPr="008A263A">
              <w:rPr>
                <w:rFonts w:ascii="Times New Roman" w:eastAsia="Times New Roman" w:hAnsi="Times New Roman" w:cs="Times New Roman"/>
                <w:sz w:val="24"/>
                <w:szCs w:val="24"/>
                <w:lang w:val="lt-LT"/>
              </w:rPr>
              <w:t>.</w:t>
            </w:r>
          </w:p>
        </w:tc>
      </w:tr>
      <w:tr w:rsidR="008A263A" w:rsidRPr="000F5242" w14:paraId="61E45562" w14:textId="77777777" w:rsidTr="009C202C">
        <w:tc>
          <w:tcPr>
            <w:tcW w:w="556" w:type="dxa"/>
            <w:shd w:val="clear" w:color="auto" w:fill="auto"/>
          </w:tcPr>
          <w:p w14:paraId="14030389"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52AB4F79" w14:textId="77777777" w:rsidR="008A263A" w:rsidRPr="008A263A" w:rsidRDefault="008A263A" w:rsidP="009C202C">
            <w:pPr>
              <w:spacing w:before="120" w:after="120" w:line="240" w:lineRule="auto"/>
              <w:ind w:left="142"/>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Visuotinio narių susirinkimo skelbimai darbotvarkės</w:t>
            </w:r>
          </w:p>
        </w:tc>
        <w:tc>
          <w:tcPr>
            <w:tcW w:w="5953" w:type="dxa"/>
            <w:shd w:val="clear" w:color="auto" w:fill="auto"/>
          </w:tcPr>
          <w:p w14:paraId="1114B159" w14:textId="720782EB" w:rsidR="008A263A" w:rsidRPr="008A263A" w:rsidRDefault="008A263A" w:rsidP="009C202C">
            <w:pPr>
              <w:spacing w:before="120" w:after="120" w:line="240" w:lineRule="auto"/>
              <w:ind w:left="60"/>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Skelbiama informacija apie planuojamus Anykščių miesto VVG visuotinius narių susirinkimus, susijusius su </w:t>
            </w:r>
            <w:r w:rsidR="002205E9">
              <w:rPr>
                <w:rFonts w:ascii="Times New Roman" w:eastAsia="Times New Roman" w:hAnsi="Times New Roman" w:cs="Times New Roman"/>
                <w:sz w:val="24"/>
                <w:szCs w:val="24"/>
                <w:lang w:val="lt-LT"/>
              </w:rPr>
              <w:t>S</w:t>
            </w:r>
            <w:r w:rsidRPr="008A263A">
              <w:rPr>
                <w:rFonts w:ascii="Times New Roman" w:eastAsia="Times New Roman" w:hAnsi="Times New Roman" w:cs="Times New Roman"/>
                <w:sz w:val="24"/>
                <w:szCs w:val="24"/>
                <w:lang w:val="lt-LT"/>
              </w:rPr>
              <w:t>trategijos įgyv</w:t>
            </w:r>
            <w:r w:rsidR="002205E9">
              <w:rPr>
                <w:rFonts w:ascii="Times New Roman" w:eastAsia="Times New Roman" w:hAnsi="Times New Roman" w:cs="Times New Roman"/>
                <w:sz w:val="24"/>
                <w:szCs w:val="24"/>
                <w:lang w:val="lt-LT"/>
              </w:rPr>
              <w:t>endinimu</w:t>
            </w:r>
            <w:r w:rsidRPr="008A263A">
              <w:rPr>
                <w:rFonts w:ascii="Times New Roman" w:eastAsia="Times New Roman" w:hAnsi="Times New Roman" w:cs="Times New Roman"/>
                <w:sz w:val="24"/>
                <w:szCs w:val="24"/>
                <w:lang w:val="lt-LT"/>
              </w:rPr>
              <w:t>.</w:t>
            </w:r>
          </w:p>
        </w:tc>
      </w:tr>
      <w:tr w:rsidR="008A263A" w:rsidRPr="000F5242" w14:paraId="161C7AB0" w14:textId="77777777" w:rsidTr="009C202C">
        <w:tc>
          <w:tcPr>
            <w:tcW w:w="556" w:type="dxa"/>
            <w:shd w:val="clear" w:color="auto" w:fill="auto"/>
          </w:tcPr>
          <w:p w14:paraId="0FAC7755"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666AAC7A" w14:textId="77777777" w:rsidR="008A263A" w:rsidRPr="008A263A" w:rsidRDefault="008A263A" w:rsidP="009C202C">
            <w:pPr>
              <w:spacing w:before="120" w:after="120" w:line="240" w:lineRule="auto"/>
              <w:ind w:left="142"/>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Visuotinio narių susirinkimų protokolai ir dalyvių sąrašų kopijos</w:t>
            </w:r>
          </w:p>
        </w:tc>
        <w:tc>
          <w:tcPr>
            <w:tcW w:w="5953" w:type="dxa"/>
            <w:shd w:val="clear" w:color="auto" w:fill="auto"/>
          </w:tcPr>
          <w:p w14:paraId="2567B1CB" w14:textId="6E00B42C" w:rsidR="008A263A" w:rsidRPr="008A263A" w:rsidRDefault="008A263A" w:rsidP="009C202C">
            <w:pPr>
              <w:spacing w:before="120" w:after="120" w:line="240" w:lineRule="auto"/>
              <w:ind w:left="142"/>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Skelbiama informacija apie vykusius Anykščių miesto VVG visuotinius narių susirinkimus, susijusius su </w:t>
            </w:r>
            <w:r w:rsidR="002205E9">
              <w:rPr>
                <w:rFonts w:ascii="Times New Roman" w:eastAsia="Times New Roman" w:hAnsi="Times New Roman" w:cs="Times New Roman"/>
                <w:sz w:val="24"/>
                <w:szCs w:val="24"/>
                <w:lang w:val="lt-LT"/>
              </w:rPr>
              <w:t>Strategijos įgyvendinimu</w:t>
            </w:r>
            <w:r w:rsidRPr="008A263A">
              <w:rPr>
                <w:rFonts w:ascii="Times New Roman" w:eastAsia="Times New Roman" w:hAnsi="Times New Roman" w:cs="Times New Roman"/>
                <w:sz w:val="24"/>
                <w:szCs w:val="24"/>
                <w:lang w:val="lt-LT"/>
              </w:rPr>
              <w:t>.</w:t>
            </w:r>
          </w:p>
        </w:tc>
      </w:tr>
      <w:tr w:rsidR="008A263A" w:rsidRPr="000F5242" w14:paraId="17F5F674" w14:textId="77777777" w:rsidTr="009C202C">
        <w:tc>
          <w:tcPr>
            <w:tcW w:w="556" w:type="dxa"/>
            <w:shd w:val="clear" w:color="auto" w:fill="auto"/>
          </w:tcPr>
          <w:p w14:paraId="5D9B5F6B"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2CA86F87" w14:textId="167E4A37" w:rsidR="008A263A" w:rsidRPr="008A263A" w:rsidRDefault="00C2196D" w:rsidP="009C202C">
            <w:pPr>
              <w:spacing w:before="120" w:after="120" w:line="240" w:lineRule="auto"/>
              <w:ind w:left="14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Asociacijos v</w:t>
            </w:r>
            <w:r w:rsidR="008A263A" w:rsidRPr="008A263A">
              <w:rPr>
                <w:rFonts w:ascii="Times New Roman" w:eastAsia="Times New Roman" w:hAnsi="Times New Roman" w:cs="Times New Roman"/>
                <w:sz w:val="24"/>
                <w:szCs w:val="24"/>
                <w:lang w:val="lt-LT"/>
              </w:rPr>
              <w:t>aldybos posėdžių kvietimai ir darbotvarkės</w:t>
            </w:r>
          </w:p>
        </w:tc>
        <w:tc>
          <w:tcPr>
            <w:tcW w:w="5953" w:type="dxa"/>
            <w:shd w:val="clear" w:color="auto" w:fill="auto"/>
          </w:tcPr>
          <w:p w14:paraId="54CB57D9" w14:textId="62F817E9"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Skelbiama informacija apie planuojamus Anykščių miesto VVG </w:t>
            </w:r>
            <w:r w:rsidR="002205E9">
              <w:rPr>
                <w:rFonts w:ascii="Times New Roman" w:eastAsia="Times New Roman" w:hAnsi="Times New Roman" w:cs="Times New Roman"/>
                <w:sz w:val="24"/>
                <w:szCs w:val="24"/>
                <w:lang w:val="lt-LT"/>
              </w:rPr>
              <w:t>valdybos posėdžius</w:t>
            </w:r>
            <w:r w:rsidRPr="008A263A">
              <w:rPr>
                <w:rFonts w:ascii="Times New Roman" w:eastAsia="Times New Roman" w:hAnsi="Times New Roman" w:cs="Times New Roman"/>
                <w:sz w:val="24"/>
                <w:szCs w:val="24"/>
                <w:lang w:val="lt-LT"/>
              </w:rPr>
              <w:t>.</w:t>
            </w:r>
          </w:p>
        </w:tc>
      </w:tr>
      <w:tr w:rsidR="008A263A" w:rsidRPr="000F5242" w14:paraId="36152B41" w14:textId="77777777" w:rsidTr="009C202C">
        <w:tc>
          <w:tcPr>
            <w:tcW w:w="556" w:type="dxa"/>
            <w:shd w:val="clear" w:color="auto" w:fill="auto"/>
          </w:tcPr>
          <w:p w14:paraId="51FC72B7"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5CC9C79F" w14:textId="7C48EA27" w:rsidR="008A263A" w:rsidRPr="008A263A" w:rsidRDefault="00C2196D" w:rsidP="009C202C">
            <w:pPr>
              <w:spacing w:before="120" w:after="120" w:line="240" w:lineRule="auto"/>
              <w:ind w:left="14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Asociacijos v</w:t>
            </w:r>
            <w:r w:rsidRPr="008A263A">
              <w:rPr>
                <w:rFonts w:ascii="Times New Roman" w:eastAsia="Times New Roman" w:hAnsi="Times New Roman" w:cs="Times New Roman"/>
                <w:sz w:val="24"/>
                <w:szCs w:val="24"/>
                <w:lang w:val="lt-LT"/>
              </w:rPr>
              <w:t xml:space="preserve">aldybos </w:t>
            </w:r>
            <w:r w:rsidR="008A263A" w:rsidRPr="008A263A">
              <w:rPr>
                <w:rFonts w:ascii="Times New Roman" w:eastAsia="Times New Roman" w:hAnsi="Times New Roman" w:cs="Times New Roman"/>
                <w:sz w:val="24"/>
                <w:szCs w:val="24"/>
                <w:lang w:val="lt-LT"/>
              </w:rPr>
              <w:t>posėdžių protokolai ir dalyvių sąrašų kopijos</w:t>
            </w:r>
          </w:p>
        </w:tc>
        <w:tc>
          <w:tcPr>
            <w:tcW w:w="5953" w:type="dxa"/>
            <w:shd w:val="clear" w:color="auto" w:fill="auto"/>
          </w:tcPr>
          <w:p w14:paraId="43FC033E" w14:textId="7F47BC44"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Skelbiama informacija apie vykusius Anykščių miesto VVG </w:t>
            </w:r>
            <w:r w:rsidR="002205E9">
              <w:rPr>
                <w:rFonts w:ascii="Times New Roman" w:eastAsia="Times New Roman" w:hAnsi="Times New Roman" w:cs="Times New Roman"/>
                <w:sz w:val="24"/>
                <w:szCs w:val="24"/>
                <w:lang w:val="lt-LT"/>
              </w:rPr>
              <w:t>valdybos posėdžius.</w:t>
            </w:r>
          </w:p>
        </w:tc>
      </w:tr>
      <w:tr w:rsidR="008A263A" w:rsidRPr="000F5242" w14:paraId="1397505E" w14:textId="77777777" w:rsidTr="009C202C">
        <w:tc>
          <w:tcPr>
            <w:tcW w:w="556" w:type="dxa"/>
            <w:shd w:val="clear" w:color="auto" w:fill="auto"/>
          </w:tcPr>
          <w:p w14:paraId="65292C43"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7793E366" w14:textId="77777777" w:rsidR="008A263A" w:rsidRPr="008A263A" w:rsidRDefault="008A263A" w:rsidP="009C202C">
            <w:pPr>
              <w:spacing w:before="120" w:after="120" w:line="240" w:lineRule="auto"/>
              <w:ind w:left="142"/>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Renginių skelbimai</w:t>
            </w:r>
          </w:p>
        </w:tc>
        <w:tc>
          <w:tcPr>
            <w:tcW w:w="5953" w:type="dxa"/>
            <w:shd w:val="clear" w:color="auto" w:fill="auto"/>
          </w:tcPr>
          <w:p w14:paraId="7F87B0D1" w14:textId="17C8782E"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Skelbiama informacija apie planuojamus renginius, susijusius su </w:t>
            </w:r>
            <w:r w:rsidR="002205E9">
              <w:rPr>
                <w:rFonts w:ascii="Times New Roman" w:eastAsia="Times New Roman" w:hAnsi="Times New Roman" w:cs="Times New Roman"/>
                <w:sz w:val="24"/>
                <w:szCs w:val="24"/>
                <w:lang w:val="lt-LT"/>
              </w:rPr>
              <w:t>Strategijos įgyvendinimu.</w:t>
            </w:r>
          </w:p>
        </w:tc>
      </w:tr>
      <w:tr w:rsidR="008A263A" w:rsidRPr="000F5242" w14:paraId="55B8BAF3" w14:textId="77777777" w:rsidTr="009C202C">
        <w:tc>
          <w:tcPr>
            <w:tcW w:w="556" w:type="dxa"/>
            <w:shd w:val="clear" w:color="auto" w:fill="auto"/>
          </w:tcPr>
          <w:p w14:paraId="2EF2E52A"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374E4CE2" w14:textId="77777777" w:rsidR="008A263A" w:rsidRPr="008A263A" w:rsidRDefault="008A263A" w:rsidP="009C202C">
            <w:pPr>
              <w:spacing w:before="120" w:after="120" w:line="240" w:lineRule="auto"/>
              <w:ind w:left="142"/>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Renginių informacija</w:t>
            </w:r>
          </w:p>
        </w:tc>
        <w:tc>
          <w:tcPr>
            <w:tcW w:w="5953" w:type="dxa"/>
            <w:shd w:val="clear" w:color="auto" w:fill="auto"/>
          </w:tcPr>
          <w:p w14:paraId="51E83EA9" w14:textId="1DB65831"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Skelbiama informacija apie įvykusius renginius, susijusius su </w:t>
            </w:r>
            <w:r w:rsidR="002205E9">
              <w:rPr>
                <w:rFonts w:ascii="Times New Roman" w:eastAsia="Times New Roman" w:hAnsi="Times New Roman" w:cs="Times New Roman"/>
                <w:sz w:val="24"/>
                <w:szCs w:val="24"/>
                <w:lang w:val="lt-LT"/>
              </w:rPr>
              <w:t>Strategijos įgyvendinimu</w:t>
            </w:r>
            <w:r w:rsidRPr="008A263A">
              <w:rPr>
                <w:rFonts w:ascii="Times New Roman" w:eastAsia="Times New Roman" w:hAnsi="Times New Roman" w:cs="Times New Roman"/>
                <w:sz w:val="24"/>
                <w:szCs w:val="24"/>
                <w:lang w:val="lt-LT"/>
              </w:rPr>
              <w:t>.</w:t>
            </w:r>
          </w:p>
        </w:tc>
      </w:tr>
      <w:tr w:rsidR="008A263A" w:rsidRPr="000F5242" w14:paraId="3C726DB0" w14:textId="77777777" w:rsidTr="009C202C">
        <w:tc>
          <w:tcPr>
            <w:tcW w:w="556" w:type="dxa"/>
            <w:shd w:val="clear" w:color="auto" w:fill="auto"/>
          </w:tcPr>
          <w:p w14:paraId="2AE8E926"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44452DB9" w14:textId="77777777" w:rsidR="008A263A" w:rsidRPr="008A263A" w:rsidRDefault="008A263A" w:rsidP="009C202C">
            <w:pPr>
              <w:spacing w:before="120" w:after="120" w:line="240" w:lineRule="auto"/>
              <w:ind w:left="142"/>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Nuorodos</w:t>
            </w:r>
          </w:p>
        </w:tc>
        <w:tc>
          <w:tcPr>
            <w:tcW w:w="5953" w:type="dxa"/>
            <w:shd w:val="clear" w:color="auto" w:fill="auto"/>
          </w:tcPr>
          <w:p w14:paraId="2CF7E0A9" w14:textId="6F35C04F"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Skelbiamos nuorodos į Europos Sąjungos ir nacionalinius teisės aktus, reglamentuojančius </w:t>
            </w:r>
            <w:r w:rsidR="002205E9">
              <w:rPr>
                <w:rFonts w:ascii="Times New Roman" w:eastAsia="Times New Roman" w:hAnsi="Times New Roman" w:cs="Times New Roman"/>
                <w:sz w:val="24"/>
                <w:szCs w:val="24"/>
                <w:lang w:val="lt-LT"/>
              </w:rPr>
              <w:t>S</w:t>
            </w:r>
            <w:r w:rsidRPr="008A263A">
              <w:rPr>
                <w:rFonts w:ascii="Times New Roman" w:eastAsia="Times New Roman" w:hAnsi="Times New Roman" w:cs="Times New Roman"/>
                <w:sz w:val="24"/>
                <w:szCs w:val="24"/>
                <w:lang w:val="lt-LT"/>
              </w:rPr>
              <w:t>trategijų įgyvendinimo tvarką</w:t>
            </w:r>
            <w:r w:rsidR="002205E9">
              <w:rPr>
                <w:rFonts w:ascii="Times New Roman" w:eastAsia="Times New Roman" w:hAnsi="Times New Roman" w:cs="Times New Roman"/>
                <w:sz w:val="24"/>
                <w:szCs w:val="24"/>
                <w:lang w:val="lt-LT"/>
              </w:rPr>
              <w:t>.</w:t>
            </w:r>
          </w:p>
        </w:tc>
      </w:tr>
      <w:tr w:rsidR="008A263A" w:rsidRPr="000F5242" w14:paraId="0FAA9257" w14:textId="77777777" w:rsidTr="009C202C">
        <w:tc>
          <w:tcPr>
            <w:tcW w:w="556" w:type="dxa"/>
            <w:shd w:val="clear" w:color="auto" w:fill="auto"/>
          </w:tcPr>
          <w:p w14:paraId="0CE6DEEB" w14:textId="77777777" w:rsidR="008A263A" w:rsidRPr="008A263A" w:rsidRDefault="008A263A" w:rsidP="009C202C">
            <w:pPr>
              <w:numPr>
                <w:ilvl w:val="0"/>
                <w:numId w:val="36"/>
              </w:numPr>
              <w:spacing w:before="120" w:after="120" w:line="240" w:lineRule="auto"/>
              <w:ind w:hanging="578"/>
              <w:jc w:val="both"/>
              <w:rPr>
                <w:rFonts w:ascii="Times New Roman" w:eastAsia="Times New Roman" w:hAnsi="Times New Roman" w:cs="Times New Roman"/>
                <w:sz w:val="24"/>
                <w:szCs w:val="24"/>
                <w:lang w:val="lt-LT"/>
              </w:rPr>
            </w:pPr>
          </w:p>
        </w:tc>
        <w:tc>
          <w:tcPr>
            <w:tcW w:w="2563" w:type="dxa"/>
            <w:shd w:val="clear" w:color="auto" w:fill="auto"/>
          </w:tcPr>
          <w:p w14:paraId="10029904" w14:textId="3E6F6FF7" w:rsidR="008A263A" w:rsidRPr="008A263A" w:rsidRDefault="00C2196D" w:rsidP="009C202C">
            <w:pPr>
              <w:spacing w:before="120" w:after="120" w:line="240" w:lineRule="auto"/>
              <w:ind w:left="14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8A263A" w:rsidRPr="008A263A">
              <w:rPr>
                <w:rFonts w:ascii="Times New Roman" w:eastAsia="Times New Roman" w:hAnsi="Times New Roman" w:cs="Times New Roman"/>
                <w:sz w:val="24"/>
                <w:szCs w:val="24"/>
                <w:lang w:val="lt-LT"/>
              </w:rPr>
              <w:t>apildoma informaciją (jei jos yra)</w:t>
            </w:r>
          </w:p>
        </w:tc>
        <w:tc>
          <w:tcPr>
            <w:tcW w:w="5953" w:type="dxa"/>
            <w:shd w:val="clear" w:color="auto" w:fill="auto"/>
          </w:tcPr>
          <w:p w14:paraId="4EB4F868" w14:textId="08725D45" w:rsidR="008A263A" w:rsidRPr="008A263A" w:rsidRDefault="008A263A" w:rsidP="009C202C">
            <w:pPr>
              <w:spacing w:before="120" w:after="120" w:line="240" w:lineRule="auto"/>
              <w:rPr>
                <w:rFonts w:ascii="Times New Roman" w:eastAsia="Times New Roman" w:hAnsi="Times New Roman" w:cs="Times New Roman"/>
                <w:sz w:val="24"/>
                <w:szCs w:val="24"/>
                <w:lang w:val="lt-LT"/>
              </w:rPr>
            </w:pPr>
            <w:r w:rsidRPr="008A263A">
              <w:rPr>
                <w:rFonts w:ascii="Times New Roman" w:eastAsia="Times New Roman" w:hAnsi="Times New Roman" w:cs="Times New Roman"/>
                <w:sz w:val="24"/>
                <w:szCs w:val="24"/>
                <w:lang w:val="lt-LT"/>
              </w:rPr>
              <w:t xml:space="preserve">Gali būti skelbiama ir kita, su </w:t>
            </w:r>
            <w:r w:rsidR="002205E9">
              <w:rPr>
                <w:rFonts w:ascii="Times New Roman" w:eastAsia="Times New Roman" w:hAnsi="Times New Roman" w:cs="Times New Roman"/>
                <w:sz w:val="24"/>
                <w:szCs w:val="24"/>
                <w:lang w:val="lt-LT"/>
              </w:rPr>
              <w:t>S</w:t>
            </w:r>
            <w:r w:rsidRPr="008A263A">
              <w:rPr>
                <w:rFonts w:ascii="Times New Roman" w:eastAsia="Times New Roman" w:hAnsi="Times New Roman" w:cs="Times New Roman"/>
                <w:sz w:val="24"/>
                <w:szCs w:val="24"/>
                <w:lang w:val="lt-LT"/>
              </w:rPr>
              <w:t>t</w:t>
            </w:r>
            <w:r w:rsidR="002205E9">
              <w:rPr>
                <w:rFonts w:ascii="Times New Roman" w:eastAsia="Times New Roman" w:hAnsi="Times New Roman" w:cs="Times New Roman"/>
                <w:sz w:val="24"/>
                <w:szCs w:val="24"/>
                <w:lang w:val="lt-LT"/>
              </w:rPr>
              <w:t>rategijos įgyvendinimu susijusi, informacija</w:t>
            </w:r>
            <w:r w:rsidRPr="008A263A">
              <w:rPr>
                <w:rFonts w:ascii="Times New Roman" w:eastAsia="Times New Roman" w:hAnsi="Times New Roman" w:cs="Times New Roman"/>
                <w:sz w:val="24"/>
                <w:szCs w:val="24"/>
                <w:lang w:val="lt-LT"/>
              </w:rPr>
              <w:t xml:space="preserve"> (jei jos yra).</w:t>
            </w:r>
          </w:p>
        </w:tc>
      </w:tr>
    </w:tbl>
    <w:p w14:paraId="7196D0D5" w14:textId="77777777" w:rsidR="008A263A" w:rsidRPr="008A263A" w:rsidRDefault="008A263A" w:rsidP="009C202C">
      <w:pPr>
        <w:pStyle w:val="Default"/>
        <w:spacing w:before="120" w:after="120"/>
        <w:jc w:val="both"/>
        <w:rPr>
          <w:color w:val="auto"/>
        </w:rPr>
      </w:pPr>
    </w:p>
    <w:p w14:paraId="05FAB8B2" w14:textId="4FF591B9" w:rsidR="00637D72" w:rsidRPr="00FB1155" w:rsidRDefault="001B795F" w:rsidP="00150588">
      <w:pPr>
        <w:pStyle w:val="Default"/>
        <w:numPr>
          <w:ilvl w:val="0"/>
          <w:numId w:val="7"/>
        </w:numPr>
        <w:spacing w:before="120" w:after="120"/>
        <w:jc w:val="both"/>
        <w:rPr>
          <w:color w:val="auto"/>
        </w:rPr>
      </w:pPr>
      <w:r w:rsidRPr="00FB1155">
        <w:rPr>
          <w:color w:val="auto"/>
        </w:rPr>
        <w:t>Anykščių</w:t>
      </w:r>
      <w:r w:rsidR="00150588" w:rsidRPr="00FB1155">
        <w:rPr>
          <w:color w:val="auto"/>
        </w:rPr>
        <w:t xml:space="preserve"> miesto</w:t>
      </w:r>
      <w:r w:rsidR="00637D72" w:rsidRPr="00FB1155">
        <w:rPr>
          <w:color w:val="auto"/>
        </w:rPr>
        <w:t xml:space="preserve"> VVG turi teisę skelbti ir papildomą, su Strategijos įgyvendinimu susijusią, informaciją. </w:t>
      </w:r>
    </w:p>
    <w:p w14:paraId="7E8C4AB8" w14:textId="43334781" w:rsidR="00637D72" w:rsidRPr="00FB1155" w:rsidRDefault="001B795F" w:rsidP="00837E46">
      <w:pPr>
        <w:pStyle w:val="Default"/>
        <w:numPr>
          <w:ilvl w:val="0"/>
          <w:numId w:val="7"/>
        </w:numPr>
        <w:spacing w:before="120" w:after="120"/>
        <w:jc w:val="both"/>
        <w:rPr>
          <w:color w:val="auto"/>
        </w:rPr>
      </w:pPr>
      <w:r w:rsidRPr="00FB1155">
        <w:rPr>
          <w:color w:val="auto"/>
        </w:rPr>
        <w:t>Anykščių</w:t>
      </w:r>
      <w:r w:rsidR="00637D72" w:rsidRPr="00FB1155">
        <w:rPr>
          <w:color w:val="auto"/>
        </w:rPr>
        <w:t xml:space="preserve"> </w:t>
      </w:r>
      <w:r w:rsidR="00150588" w:rsidRPr="00FB1155">
        <w:rPr>
          <w:color w:val="auto"/>
        </w:rPr>
        <w:t>miesto</w:t>
      </w:r>
      <w:r w:rsidR="00637D72" w:rsidRPr="00FB1155">
        <w:rPr>
          <w:color w:val="auto"/>
        </w:rPr>
        <w:t xml:space="preserve"> VVG ne rečiau kaip kartą per kalendorinius metus pristato </w:t>
      </w:r>
      <w:r w:rsidRPr="00FB1155">
        <w:rPr>
          <w:color w:val="auto"/>
        </w:rPr>
        <w:t>Anykščių</w:t>
      </w:r>
      <w:r w:rsidR="00150588" w:rsidRPr="00FB1155">
        <w:rPr>
          <w:color w:val="auto"/>
        </w:rPr>
        <w:t xml:space="preserve"> miesto</w:t>
      </w:r>
      <w:r w:rsidR="00637D72" w:rsidRPr="00FB1155">
        <w:rPr>
          <w:color w:val="auto"/>
        </w:rPr>
        <w:t xml:space="preserve"> VVG veiklos teritorijos gyventojams Strategijos įgyvendinimo metinę ataskaitą (toliau – Metinė ataskaita) (pavyzdžiui, viešinimo ir aktyvinimo renginiai, informavimas spaudoje, per televiziją ir pan.)</w:t>
      </w:r>
      <w:r w:rsidR="00837E46" w:rsidRPr="00FB1155">
        <w:rPr>
          <w:color w:val="auto"/>
        </w:rPr>
        <w:t>, kurios forma pateikta Strategijos įgyvendinimo aprašo 4 priede „</w:t>
      </w:r>
      <w:r w:rsidR="006C0ED1" w:rsidRPr="00FB1155">
        <w:rPr>
          <w:color w:val="auto"/>
        </w:rPr>
        <w:t>M</w:t>
      </w:r>
      <w:r w:rsidR="00837E46" w:rsidRPr="00FB1155">
        <w:rPr>
          <w:color w:val="auto"/>
        </w:rPr>
        <w:t>etinės/galutinės ataskaitos forma“</w:t>
      </w:r>
      <w:r w:rsidR="00637D72" w:rsidRPr="00FB1155">
        <w:rPr>
          <w:color w:val="auto"/>
        </w:rPr>
        <w:t xml:space="preserve">. Metinės ataskaitos pristatymo teritorijos gyventojams pasirinktas būdas turi užtikrinti kuo platesnį </w:t>
      </w:r>
      <w:r w:rsidRPr="00FB1155">
        <w:rPr>
          <w:color w:val="auto"/>
        </w:rPr>
        <w:t>Anykščių</w:t>
      </w:r>
      <w:r w:rsidR="00150588" w:rsidRPr="00FB1155">
        <w:rPr>
          <w:color w:val="auto"/>
        </w:rPr>
        <w:t xml:space="preserve"> miesto</w:t>
      </w:r>
      <w:r w:rsidR="00637D72" w:rsidRPr="00FB1155">
        <w:rPr>
          <w:color w:val="auto"/>
        </w:rPr>
        <w:t xml:space="preserve"> VVG veiklos teritorijos gyventojų informavimą. </w:t>
      </w:r>
    </w:p>
    <w:p w14:paraId="2271CA2D" w14:textId="77576F81" w:rsidR="00637D72" w:rsidRPr="00FB1155" w:rsidRDefault="00F37799" w:rsidP="00001358">
      <w:pPr>
        <w:pStyle w:val="Heading2"/>
        <w:ind w:left="426" w:hanging="432"/>
        <w:rPr>
          <w:rFonts w:ascii="Times New Roman" w:hAnsi="Times New Roman"/>
          <w:szCs w:val="24"/>
        </w:rPr>
      </w:pPr>
      <w:bookmarkStart w:id="15" w:name="_Toc484547351"/>
      <w:r w:rsidRPr="00FB1155">
        <w:rPr>
          <w:rFonts w:ascii="Times New Roman" w:hAnsi="Times New Roman"/>
          <w:szCs w:val="24"/>
        </w:rPr>
        <w:t>II</w:t>
      </w:r>
      <w:r w:rsidR="00001358" w:rsidRPr="00FB1155">
        <w:rPr>
          <w:rFonts w:ascii="Times New Roman" w:hAnsi="Times New Roman"/>
          <w:szCs w:val="24"/>
        </w:rPr>
        <w:t xml:space="preserve"> </w:t>
      </w:r>
      <w:r w:rsidRPr="00FB1155">
        <w:rPr>
          <w:rFonts w:ascii="Times New Roman" w:hAnsi="Times New Roman"/>
          <w:szCs w:val="24"/>
        </w:rPr>
        <w:t>Skirsnis</w:t>
      </w:r>
      <w:r w:rsidR="00001358" w:rsidRPr="00FB1155">
        <w:rPr>
          <w:rFonts w:ascii="Times New Roman" w:hAnsi="Times New Roman"/>
          <w:szCs w:val="24"/>
        </w:rPr>
        <w:t xml:space="preserve">. </w:t>
      </w:r>
      <w:r w:rsidR="008A263A">
        <w:rPr>
          <w:rFonts w:ascii="Times New Roman" w:hAnsi="Times New Roman"/>
          <w:szCs w:val="24"/>
        </w:rPr>
        <w:t>S</w:t>
      </w:r>
      <w:r w:rsidR="00001358" w:rsidRPr="00FB1155">
        <w:rPr>
          <w:rFonts w:ascii="Times New Roman" w:hAnsi="Times New Roman"/>
          <w:szCs w:val="24"/>
        </w:rPr>
        <w:t>trategijos įgyvendinimo stebėsena</w:t>
      </w:r>
      <w:bookmarkEnd w:id="15"/>
    </w:p>
    <w:p w14:paraId="0265E656" w14:textId="19D5C7DC" w:rsidR="00637D72" w:rsidRPr="00FB1155" w:rsidRDefault="00637D72" w:rsidP="00150588">
      <w:pPr>
        <w:pStyle w:val="Default"/>
        <w:numPr>
          <w:ilvl w:val="0"/>
          <w:numId w:val="7"/>
        </w:numPr>
        <w:spacing w:before="120" w:after="120"/>
        <w:jc w:val="both"/>
        <w:rPr>
          <w:color w:val="auto"/>
        </w:rPr>
      </w:pPr>
      <w:r w:rsidRPr="00FB1155">
        <w:rPr>
          <w:color w:val="auto"/>
        </w:rPr>
        <w:t xml:space="preserve">Už Strategijos įgyvendinimo </w:t>
      </w:r>
      <w:r w:rsidR="00D47B3C">
        <w:rPr>
          <w:rFonts w:eastAsia="Times New Roman"/>
          <w:lang w:eastAsia="lt-LT"/>
        </w:rPr>
        <w:t>stebėsenos priežiūrą</w:t>
      </w:r>
      <w:r w:rsidR="00D47B3C" w:rsidRPr="00FB1155" w:rsidDel="00D47B3C">
        <w:rPr>
          <w:color w:val="auto"/>
        </w:rPr>
        <w:t xml:space="preserve"> </w:t>
      </w:r>
      <w:r w:rsidRPr="00FB1155">
        <w:rPr>
          <w:color w:val="auto"/>
        </w:rPr>
        <w:t xml:space="preserve">atsakingas </w:t>
      </w:r>
      <w:r w:rsidR="001B795F" w:rsidRPr="00FB1155">
        <w:rPr>
          <w:color w:val="auto"/>
        </w:rPr>
        <w:t>Anykščių</w:t>
      </w:r>
      <w:r w:rsidR="00150588" w:rsidRPr="00FB1155">
        <w:rPr>
          <w:color w:val="auto"/>
        </w:rPr>
        <w:t xml:space="preserve"> miesto</w:t>
      </w:r>
      <w:r w:rsidRPr="00FB1155">
        <w:rPr>
          <w:color w:val="auto"/>
        </w:rPr>
        <w:t xml:space="preserve"> VVG pirmininkas ir Asociacijos valdyba. </w:t>
      </w:r>
    </w:p>
    <w:p w14:paraId="1D04690E" w14:textId="77777777" w:rsidR="00150588" w:rsidRPr="00FB1155" w:rsidRDefault="00637D72" w:rsidP="00150588">
      <w:pPr>
        <w:pStyle w:val="Default"/>
        <w:numPr>
          <w:ilvl w:val="0"/>
          <w:numId w:val="7"/>
        </w:numPr>
        <w:spacing w:before="120" w:after="120"/>
        <w:jc w:val="both"/>
        <w:rPr>
          <w:color w:val="auto"/>
        </w:rPr>
      </w:pPr>
      <w:r w:rsidRPr="00FB1155">
        <w:rPr>
          <w:color w:val="auto"/>
        </w:rPr>
        <w:t xml:space="preserve">Ministerija prižiūri kaip </w:t>
      </w:r>
      <w:r w:rsidR="001B795F" w:rsidRPr="00FB1155">
        <w:rPr>
          <w:color w:val="auto"/>
        </w:rPr>
        <w:t>Anykščių</w:t>
      </w:r>
      <w:r w:rsidR="00150588" w:rsidRPr="00FB1155">
        <w:rPr>
          <w:color w:val="auto"/>
        </w:rPr>
        <w:t xml:space="preserve"> miesto</w:t>
      </w:r>
      <w:r w:rsidRPr="00FB1155">
        <w:rPr>
          <w:color w:val="auto"/>
        </w:rPr>
        <w:t xml:space="preserve"> VVG atlieka Strategijos stebėseną. </w:t>
      </w:r>
    </w:p>
    <w:p w14:paraId="1931AFCF" w14:textId="7FCCCAFA" w:rsidR="00637D72" w:rsidRPr="00FB1155" w:rsidRDefault="001B795F" w:rsidP="00150588">
      <w:pPr>
        <w:pStyle w:val="Default"/>
        <w:numPr>
          <w:ilvl w:val="0"/>
          <w:numId w:val="7"/>
        </w:numPr>
        <w:spacing w:before="120" w:after="120"/>
        <w:jc w:val="both"/>
        <w:rPr>
          <w:color w:val="auto"/>
        </w:rPr>
      </w:pPr>
      <w:r w:rsidRPr="00FB1155">
        <w:rPr>
          <w:color w:val="auto"/>
        </w:rPr>
        <w:t>Anykščių</w:t>
      </w:r>
      <w:r w:rsidR="00150588" w:rsidRPr="00FB1155">
        <w:rPr>
          <w:color w:val="auto"/>
        </w:rPr>
        <w:t xml:space="preserve"> miesto</w:t>
      </w:r>
      <w:r w:rsidR="00637D72" w:rsidRPr="00FB1155">
        <w:rPr>
          <w:color w:val="auto"/>
        </w:rPr>
        <w:t xml:space="preserve"> VVG pirmininkas, Strategijos įgyvendinimo laikotarpiu, paskiria </w:t>
      </w:r>
      <w:r w:rsidRPr="00FB1155">
        <w:rPr>
          <w:color w:val="auto"/>
        </w:rPr>
        <w:t>Anykščių</w:t>
      </w:r>
      <w:r w:rsidR="00150588" w:rsidRPr="00FB1155">
        <w:rPr>
          <w:color w:val="auto"/>
        </w:rPr>
        <w:t xml:space="preserve"> miesto</w:t>
      </w:r>
      <w:r w:rsidR="00637D72" w:rsidRPr="00FB1155">
        <w:rPr>
          <w:color w:val="auto"/>
        </w:rPr>
        <w:t xml:space="preserve"> VVG darbuotoj</w:t>
      </w:r>
      <w:r w:rsidR="00CF0AA4">
        <w:rPr>
          <w:color w:val="auto"/>
        </w:rPr>
        <w:t>ą ar kelis darbuotojus</w:t>
      </w:r>
      <w:r w:rsidR="00637D72" w:rsidRPr="00FB1155">
        <w:rPr>
          <w:color w:val="auto"/>
        </w:rPr>
        <w:t xml:space="preserve">, atsakingus už vietos plėtros projektų stebėseną. </w:t>
      </w:r>
    </w:p>
    <w:p w14:paraId="2232678D" w14:textId="347885E3" w:rsidR="00637D72" w:rsidRPr="00FB1155" w:rsidRDefault="001B795F" w:rsidP="000548E5">
      <w:pPr>
        <w:pStyle w:val="Default"/>
        <w:numPr>
          <w:ilvl w:val="0"/>
          <w:numId w:val="7"/>
        </w:numPr>
        <w:spacing w:before="120" w:after="120"/>
        <w:jc w:val="both"/>
        <w:rPr>
          <w:color w:val="auto"/>
        </w:rPr>
      </w:pPr>
      <w:r w:rsidRPr="00FB1155">
        <w:rPr>
          <w:color w:val="auto"/>
        </w:rPr>
        <w:t>Anykščių</w:t>
      </w:r>
      <w:r w:rsidR="00150588" w:rsidRPr="00FB1155">
        <w:rPr>
          <w:color w:val="auto"/>
        </w:rPr>
        <w:t xml:space="preserve"> miesto</w:t>
      </w:r>
      <w:r w:rsidR="00637D72" w:rsidRPr="00FB1155">
        <w:rPr>
          <w:color w:val="auto"/>
        </w:rPr>
        <w:t xml:space="preserve"> VVG paskirti darbuotojai vietos plėtros projektų įgyvendinimo vietose dalyvauja renginiuose, bendrauja su tikslinėmis grupėmis, pagal </w:t>
      </w:r>
      <w:r w:rsidR="000324BD" w:rsidRPr="00FB1155">
        <w:rPr>
          <w:color w:val="auto"/>
        </w:rPr>
        <w:t xml:space="preserve">Strategijos įgyvendinimo aprašo </w:t>
      </w:r>
      <w:r w:rsidR="00637D72" w:rsidRPr="00FB1155">
        <w:rPr>
          <w:color w:val="auto"/>
        </w:rPr>
        <w:t xml:space="preserve">8 priedą </w:t>
      </w:r>
      <w:r w:rsidR="000548E5" w:rsidRPr="00FB1155">
        <w:rPr>
          <w:color w:val="auto"/>
        </w:rPr>
        <w:t>„</w:t>
      </w:r>
      <w:r w:rsidR="00034C10" w:rsidRPr="00FB1155">
        <w:rPr>
          <w:color w:val="auto"/>
        </w:rPr>
        <w:t>S</w:t>
      </w:r>
      <w:r w:rsidR="000548E5" w:rsidRPr="00FB1155">
        <w:rPr>
          <w:color w:val="auto"/>
        </w:rPr>
        <w:t xml:space="preserve">tebėsenos ataskaitos forma“ </w:t>
      </w:r>
      <w:r w:rsidR="00637D72" w:rsidRPr="00FB1155">
        <w:rPr>
          <w:color w:val="auto"/>
        </w:rPr>
        <w:t xml:space="preserve">fiksuoja faktinę informaciją susijusią su projekto valdymu. </w:t>
      </w:r>
    </w:p>
    <w:p w14:paraId="4B8FC234" w14:textId="4BA6285C" w:rsidR="005601F9" w:rsidRPr="00FB1155" w:rsidRDefault="001B795F" w:rsidP="001B795F">
      <w:pPr>
        <w:pStyle w:val="Default"/>
        <w:numPr>
          <w:ilvl w:val="0"/>
          <w:numId w:val="7"/>
        </w:numPr>
        <w:spacing w:before="120" w:after="120"/>
        <w:jc w:val="both"/>
        <w:rPr>
          <w:color w:val="auto"/>
        </w:rPr>
      </w:pPr>
      <w:r w:rsidRPr="00FB1155">
        <w:rPr>
          <w:color w:val="auto"/>
        </w:rPr>
        <w:t>Anykščių</w:t>
      </w:r>
      <w:r w:rsidR="005601F9" w:rsidRPr="00FB1155">
        <w:rPr>
          <w:color w:val="auto"/>
        </w:rPr>
        <w:t xml:space="preserve"> miesto</w:t>
      </w:r>
      <w:r w:rsidR="00637D72" w:rsidRPr="00FB1155">
        <w:rPr>
          <w:color w:val="auto"/>
        </w:rPr>
        <w:t xml:space="preserve"> VVG darbuotojai</w:t>
      </w:r>
      <w:r w:rsidR="00743A12">
        <w:rPr>
          <w:color w:val="auto"/>
        </w:rPr>
        <w:t xml:space="preserve">, </w:t>
      </w:r>
      <w:r w:rsidR="00743A12" w:rsidRPr="00C5054D">
        <w:rPr>
          <w:color w:val="auto"/>
        </w:rPr>
        <w:t>Anykščių miesto VVG valdybos nariai,  Anykščių miesto VVG pirmininkas</w:t>
      </w:r>
      <w:r w:rsidR="00637D72" w:rsidRPr="00FB1155">
        <w:rPr>
          <w:color w:val="auto"/>
        </w:rPr>
        <w:t xml:space="preserve"> gali atlikti planinę ir neplaninę vietos plėtros projektų ste</w:t>
      </w:r>
      <w:r w:rsidR="005601F9" w:rsidRPr="00FB1155">
        <w:rPr>
          <w:color w:val="auto"/>
        </w:rPr>
        <w:t>bėseną jų įgyvendinimo vietose:</w:t>
      </w:r>
    </w:p>
    <w:p w14:paraId="66959008" w14:textId="20DC2415" w:rsidR="00637D72" w:rsidRPr="00FB1155" w:rsidRDefault="00637D72" w:rsidP="005601F9">
      <w:pPr>
        <w:pStyle w:val="Default"/>
        <w:numPr>
          <w:ilvl w:val="1"/>
          <w:numId w:val="26"/>
        </w:numPr>
        <w:spacing w:before="120" w:after="120"/>
        <w:jc w:val="both"/>
        <w:rPr>
          <w:color w:val="auto"/>
        </w:rPr>
      </w:pPr>
      <w:r w:rsidRPr="00FB1155">
        <w:rPr>
          <w:color w:val="auto"/>
        </w:rPr>
        <w:t xml:space="preserve">planinę vietos plėtros projektų stebėseną jų įgyvendinimo vietose </w:t>
      </w:r>
      <w:r w:rsidR="001B795F" w:rsidRPr="00FB1155">
        <w:rPr>
          <w:color w:val="auto"/>
        </w:rPr>
        <w:t>Anykščių</w:t>
      </w:r>
      <w:r w:rsidRPr="00FB1155">
        <w:rPr>
          <w:color w:val="auto"/>
        </w:rPr>
        <w:t xml:space="preserve"> m</w:t>
      </w:r>
      <w:r w:rsidR="005601F9" w:rsidRPr="00FB1155">
        <w:rPr>
          <w:color w:val="auto"/>
        </w:rPr>
        <w:t>iesto</w:t>
      </w:r>
      <w:r w:rsidRPr="00FB1155">
        <w:rPr>
          <w:color w:val="auto"/>
        </w:rPr>
        <w:t xml:space="preserve"> VVG darbuotojai turi atlikti pagal planą, atsižvelgdami į kiekvieno vietos plėtros projekto įgyvendinimo eigą ir nustatytus vietos plėtros projekto įgyvendinimo tikslus ir uždavinius; </w:t>
      </w:r>
    </w:p>
    <w:p w14:paraId="12C3696A" w14:textId="3D8B892B" w:rsidR="00637D72" w:rsidRPr="00FB1155" w:rsidRDefault="00637D72" w:rsidP="005601F9">
      <w:pPr>
        <w:pStyle w:val="Default"/>
        <w:numPr>
          <w:ilvl w:val="1"/>
          <w:numId w:val="26"/>
        </w:numPr>
        <w:spacing w:before="120" w:after="120"/>
        <w:jc w:val="both"/>
        <w:rPr>
          <w:color w:val="auto"/>
        </w:rPr>
      </w:pPr>
      <w:r w:rsidRPr="00FB1155">
        <w:rPr>
          <w:color w:val="auto"/>
        </w:rPr>
        <w:t xml:space="preserve">neplaninę vietos projektų stebėseną jų įgyvendinimo vietose </w:t>
      </w:r>
      <w:r w:rsidR="001B795F" w:rsidRPr="00FB1155">
        <w:rPr>
          <w:color w:val="auto"/>
        </w:rPr>
        <w:t>Anykščių</w:t>
      </w:r>
      <w:r w:rsidR="005601F9" w:rsidRPr="00FB1155">
        <w:rPr>
          <w:color w:val="auto"/>
        </w:rPr>
        <w:t xml:space="preserve"> miesto</w:t>
      </w:r>
      <w:r w:rsidRPr="00FB1155">
        <w:rPr>
          <w:color w:val="auto"/>
        </w:rPr>
        <w:t xml:space="preserve"> VVG darbuotojai privalo atlikti įtarus, kad vietos plėtros projekto vykdytojo teikiama informacija yra netiksli, neišsami arba klaidinanti. </w:t>
      </w:r>
    </w:p>
    <w:p w14:paraId="6DAFBE34" w14:textId="396110FF" w:rsidR="00637D72" w:rsidRPr="00FB1155" w:rsidRDefault="001B795F" w:rsidP="006D6E25">
      <w:pPr>
        <w:pStyle w:val="Default"/>
        <w:numPr>
          <w:ilvl w:val="0"/>
          <w:numId w:val="7"/>
        </w:numPr>
        <w:spacing w:before="120" w:after="120"/>
        <w:jc w:val="both"/>
        <w:rPr>
          <w:color w:val="auto"/>
        </w:rPr>
      </w:pPr>
      <w:r w:rsidRPr="00FB1155">
        <w:rPr>
          <w:color w:val="auto"/>
        </w:rPr>
        <w:t>Anykščių</w:t>
      </w:r>
      <w:r w:rsidR="00637D72" w:rsidRPr="00FB1155">
        <w:rPr>
          <w:color w:val="auto"/>
        </w:rPr>
        <w:t xml:space="preserve"> m</w:t>
      </w:r>
      <w:r w:rsidR="005601F9" w:rsidRPr="00FB1155">
        <w:rPr>
          <w:color w:val="auto"/>
        </w:rPr>
        <w:t>iesto</w:t>
      </w:r>
      <w:r w:rsidR="00637D72" w:rsidRPr="00FB1155">
        <w:rPr>
          <w:color w:val="auto"/>
        </w:rPr>
        <w:t xml:space="preserve"> VVG </w:t>
      </w:r>
      <w:r w:rsidR="00B128EA" w:rsidRPr="00F2287E">
        <w:rPr>
          <w:rFonts w:eastAsia="Times New Roman"/>
          <w:lang w:eastAsia="lt-LT"/>
        </w:rPr>
        <w:t xml:space="preserve">pirmininko </w:t>
      </w:r>
      <w:r w:rsidR="00637D72" w:rsidRPr="00FB1155">
        <w:rPr>
          <w:color w:val="auto"/>
        </w:rPr>
        <w:t xml:space="preserve">paskirtas asmuo vadovaudamasis informacija, kaip numatyta </w:t>
      </w:r>
      <w:r w:rsidR="006D6E25" w:rsidRPr="00FB1155">
        <w:rPr>
          <w:color w:val="auto"/>
        </w:rPr>
        <w:t xml:space="preserve">Strategijos įgyvendinimo </w:t>
      </w:r>
      <w:r w:rsidR="005601F9" w:rsidRPr="00FB1155">
        <w:rPr>
          <w:color w:val="auto"/>
        </w:rPr>
        <w:t xml:space="preserve">aprašo </w:t>
      </w:r>
      <w:r w:rsidR="00637D72" w:rsidRPr="00FB1155">
        <w:rPr>
          <w:color w:val="auto"/>
        </w:rPr>
        <w:t xml:space="preserve">55 punkte ir vietos plėtros projektų vykdytojų pateiktomis ataskaitomis, renka, sistemina informaciją, analizuoja įvairius reiškinius bei identifikuoja tendencijas susijusias su Strategijos įgyvendinimu. </w:t>
      </w:r>
    </w:p>
    <w:p w14:paraId="0A20C1A9" w14:textId="6150B2EE" w:rsidR="00637D72" w:rsidRPr="00FB1155" w:rsidRDefault="001B795F" w:rsidP="005601F9">
      <w:pPr>
        <w:pStyle w:val="Default"/>
        <w:numPr>
          <w:ilvl w:val="0"/>
          <w:numId w:val="7"/>
        </w:numPr>
        <w:spacing w:before="120" w:after="120"/>
        <w:jc w:val="both"/>
        <w:rPr>
          <w:color w:val="auto"/>
        </w:rPr>
      </w:pPr>
      <w:r w:rsidRPr="00FB1155">
        <w:rPr>
          <w:color w:val="auto"/>
        </w:rPr>
        <w:t>Anykščių</w:t>
      </w:r>
      <w:r w:rsidR="005601F9" w:rsidRPr="00FB1155">
        <w:rPr>
          <w:color w:val="auto"/>
        </w:rPr>
        <w:t xml:space="preserve"> miesto</w:t>
      </w:r>
      <w:r w:rsidR="00637D72" w:rsidRPr="00FB1155">
        <w:rPr>
          <w:color w:val="auto"/>
        </w:rPr>
        <w:t xml:space="preserve"> VVG taip pat renka informaciją apie atrinktus finansuoti projektus ir kitą su Strategijos administravimu susijusią informaciją. </w:t>
      </w:r>
    </w:p>
    <w:p w14:paraId="25B2321C" w14:textId="32658AC4" w:rsidR="00637D72" w:rsidRPr="00FB1155" w:rsidRDefault="001B795F" w:rsidP="005601F9">
      <w:pPr>
        <w:pStyle w:val="Default"/>
        <w:numPr>
          <w:ilvl w:val="0"/>
          <w:numId w:val="7"/>
        </w:numPr>
        <w:spacing w:before="120" w:after="120"/>
        <w:jc w:val="both"/>
        <w:rPr>
          <w:color w:val="auto"/>
        </w:rPr>
      </w:pPr>
      <w:r w:rsidRPr="00FB1155">
        <w:rPr>
          <w:color w:val="auto"/>
        </w:rPr>
        <w:t>Anykščių</w:t>
      </w:r>
      <w:r w:rsidR="005601F9" w:rsidRPr="00FB1155">
        <w:rPr>
          <w:color w:val="auto"/>
        </w:rPr>
        <w:t xml:space="preserve"> miesto</w:t>
      </w:r>
      <w:r w:rsidR="00637D72" w:rsidRPr="00FB1155">
        <w:rPr>
          <w:color w:val="auto"/>
        </w:rPr>
        <w:t xml:space="preserve"> VVG atlikdama Strategijos stebėseną vieną kartą per kalendorinius metus parengia Metinę ataskaitą apie Strategijos įgyvendinimą per praėjusius kalendorinius metus. </w:t>
      </w:r>
    </w:p>
    <w:p w14:paraId="40391B1D" w14:textId="5DAB4078" w:rsidR="00637D72" w:rsidRPr="00FB1155" w:rsidRDefault="001B795F" w:rsidP="000324BD">
      <w:pPr>
        <w:pStyle w:val="Default"/>
        <w:numPr>
          <w:ilvl w:val="0"/>
          <w:numId w:val="7"/>
        </w:numPr>
        <w:spacing w:before="120" w:after="120"/>
        <w:jc w:val="both"/>
        <w:rPr>
          <w:color w:val="auto"/>
        </w:rPr>
      </w:pPr>
      <w:r w:rsidRPr="00FB1155">
        <w:rPr>
          <w:color w:val="auto"/>
        </w:rPr>
        <w:lastRenderedPageBreak/>
        <w:t>Anykščių</w:t>
      </w:r>
      <w:r w:rsidR="005601F9" w:rsidRPr="00FB1155">
        <w:rPr>
          <w:color w:val="auto"/>
        </w:rPr>
        <w:t xml:space="preserve"> miesto</w:t>
      </w:r>
      <w:r w:rsidR="00637D72" w:rsidRPr="00FB1155">
        <w:rPr>
          <w:color w:val="auto"/>
        </w:rPr>
        <w:t xml:space="preserve"> VVG, pagal </w:t>
      </w:r>
      <w:r w:rsidR="000324BD" w:rsidRPr="00FB1155">
        <w:rPr>
          <w:color w:val="auto"/>
        </w:rPr>
        <w:t xml:space="preserve">Strategijos įgyvendinimo aprašo </w:t>
      </w:r>
      <w:r w:rsidR="00637D72" w:rsidRPr="00FB1155">
        <w:rPr>
          <w:color w:val="auto"/>
        </w:rPr>
        <w:t>4 priede nustatytą Strategijos įgyvendinimo metinės/ galutinės ataskaitos formą, ne vėliau kaip iki einamųjų metų kovo 20 d parengia Metinę ataskaitą</w:t>
      </w:r>
      <w:r w:rsidR="005601F9" w:rsidRPr="00FB1155">
        <w:rPr>
          <w:color w:val="auto"/>
        </w:rPr>
        <w:t>. Metinę ataskaitą tvirtinta Asociacijos valdyba</w:t>
      </w:r>
      <w:r w:rsidR="00637D72" w:rsidRPr="00FB1155">
        <w:rPr>
          <w:color w:val="auto"/>
        </w:rPr>
        <w:t xml:space="preserve">. </w:t>
      </w:r>
    </w:p>
    <w:p w14:paraId="69D1F130" w14:textId="24E55C6F" w:rsidR="00637D72" w:rsidRPr="00FB1155" w:rsidRDefault="00637D72" w:rsidP="005601F9">
      <w:pPr>
        <w:pStyle w:val="Default"/>
        <w:numPr>
          <w:ilvl w:val="0"/>
          <w:numId w:val="7"/>
        </w:numPr>
        <w:spacing w:before="120" w:after="120"/>
        <w:jc w:val="both"/>
        <w:rPr>
          <w:color w:val="auto"/>
        </w:rPr>
      </w:pPr>
      <w:r w:rsidRPr="00FB1155">
        <w:rPr>
          <w:color w:val="auto"/>
        </w:rPr>
        <w:t xml:space="preserve">Patvirtintą Metinės ataskaitos kopiją ir jos patvirtinimą įrodančio dokumento kopiją </w:t>
      </w:r>
      <w:r w:rsidR="001B795F" w:rsidRPr="00FB1155">
        <w:rPr>
          <w:color w:val="auto"/>
        </w:rPr>
        <w:t>Anykščių</w:t>
      </w:r>
      <w:r w:rsidR="005601F9" w:rsidRPr="00FB1155">
        <w:rPr>
          <w:color w:val="auto"/>
        </w:rPr>
        <w:t xml:space="preserve"> miesto</w:t>
      </w:r>
      <w:r w:rsidRPr="00FB1155">
        <w:rPr>
          <w:color w:val="auto"/>
        </w:rPr>
        <w:t xml:space="preserve"> VVG pateikia Ministerijai ne vėliau kaip iki einamųjų metų balandžio 1 d. </w:t>
      </w:r>
    </w:p>
    <w:p w14:paraId="361EAD7B" w14:textId="010F7ECE" w:rsidR="00637D72" w:rsidRPr="00FB1155" w:rsidRDefault="001B795F" w:rsidP="000324BD">
      <w:pPr>
        <w:pStyle w:val="Default"/>
        <w:numPr>
          <w:ilvl w:val="0"/>
          <w:numId w:val="7"/>
        </w:numPr>
        <w:spacing w:before="120" w:after="120"/>
        <w:jc w:val="both"/>
        <w:rPr>
          <w:color w:val="auto"/>
        </w:rPr>
      </w:pPr>
      <w:r w:rsidRPr="00FB1155">
        <w:rPr>
          <w:color w:val="auto"/>
        </w:rPr>
        <w:t>Anykščių</w:t>
      </w:r>
      <w:r w:rsidR="005601F9" w:rsidRPr="00FB1155">
        <w:rPr>
          <w:color w:val="auto"/>
        </w:rPr>
        <w:t xml:space="preserve"> miesto</w:t>
      </w:r>
      <w:r w:rsidR="00637D72" w:rsidRPr="00FB1155">
        <w:rPr>
          <w:color w:val="auto"/>
        </w:rPr>
        <w:t xml:space="preserve"> VVG, baigusi įgyvendinti paskutinį Strategijos veiksmą, numatytą Strategijos finansiniame plane, pagal </w:t>
      </w:r>
      <w:r w:rsidR="000324BD" w:rsidRPr="00FB1155">
        <w:rPr>
          <w:color w:val="auto"/>
        </w:rPr>
        <w:t xml:space="preserve">Strategijos įgyvendinimo aprašo </w:t>
      </w:r>
      <w:r w:rsidR="00637D72" w:rsidRPr="00FB1155">
        <w:rPr>
          <w:color w:val="auto"/>
        </w:rPr>
        <w:t xml:space="preserve">4 priede nustatytą Strategijos įgyvendinimo metinės / galutinės ataskaitos formą parengia galutinę ataskaitą (toliau – Galutinė ataskaita). Galutinę ataskaitą tvirtina Asociacijos valdyba. </w:t>
      </w:r>
    </w:p>
    <w:p w14:paraId="521696AD" w14:textId="45204D80" w:rsidR="00637D72" w:rsidRPr="00FB1155" w:rsidRDefault="00637D72" w:rsidP="001B795F">
      <w:pPr>
        <w:pStyle w:val="Default"/>
        <w:numPr>
          <w:ilvl w:val="0"/>
          <w:numId w:val="7"/>
        </w:numPr>
        <w:spacing w:before="120" w:after="120"/>
        <w:jc w:val="both"/>
        <w:rPr>
          <w:color w:val="auto"/>
        </w:rPr>
      </w:pPr>
      <w:r w:rsidRPr="00FB1155">
        <w:rPr>
          <w:color w:val="auto"/>
        </w:rPr>
        <w:t xml:space="preserve">Galutinės ataskaitos kopiją ir jos patvirtinimą įrodančio dokumento kopiją </w:t>
      </w:r>
      <w:r w:rsidR="001B795F" w:rsidRPr="00FB1155">
        <w:rPr>
          <w:color w:val="auto"/>
        </w:rPr>
        <w:t>Anykščių</w:t>
      </w:r>
      <w:r w:rsidR="00DA61E7" w:rsidRPr="00FB1155">
        <w:rPr>
          <w:color w:val="auto"/>
        </w:rPr>
        <w:t xml:space="preserve"> miesto</w:t>
      </w:r>
      <w:r w:rsidRPr="00FB1155">
        <w:rPr>
          <w:color w:val="auto"/>
        </w:rPr>
        <w:t xml:space="preserve"> VVG pateikia Ministerijai ne vėliau kaip per 3 mėnesius nuo Strategijos įgyvendinimo pabaigos, t. y. paskutinio veiksmo, numatyto Strategijos finansiniame plane, įgyvendinimo užbaigimo. </w:t>
      </w:r>
    </w:p>
    <w:p w14:paraId="479F565F" w14:textId="6DC887E8" w:rsidR="00637D72" w:rsidRPr="00FB1155" w:rsidRDefault="001B795F" w:rsidP="005601F9">
      <w:pPr>
        <w:pStyle w:val="Default"/>
        <w:numPr>
          <w:ilvl w:val="0"/>
          <w:numId w:val="7"/>
        </w:numPr>
        <w:spacing w:before="120" w:after="120"/>
        <w:jc w:val="both"/>
        <w:rPr>
          <w:color w:val="auto"/>
        </w:rPr>
      </w:pPr>
      <w:r w:rsidRPr="00FB1155">
        <w:rPr>
          <w:color w:val="auto"/>
        </w:rPr>
        <w:t>Anykščių</w:t>
      </w:r>
      <w:r w:rsidR="008E4E0B" w:rsidRPr="00FB1155">
        <w:rPr>
          <w:color w:val="auto"/>
        </w:rPr>
        <w:t xml:space="preserve"> miesto</w:t>
      </w:r>
      <w:r w:rsidR="00637D72" w:rsidRPr="00FB1155">
        <w:rPr>
          <w:color w:val="auto"/>
        </w:rPr>
        <w:t xml:space="preserve"> VVG</w:t>
      </w:r>
      <w:r w:rsidR="008E4E0B" w:rsidRPr="00FB1155">
        <w:rPr>
          <w:color w:val="auto"/>
        </w:rPr>
        <w:t>,</w:t>
      </w:r>
      <w:r w:rsidR="00637D72" w:rsidRPr="00FB1155">
        <w:rPr>
          <w:color w:val="auto"/>
        </w:rPr>
        <w:t xml:space="preserve"> Minist</w:t>
      </w:r>
      <w:r w:rsidR="008E4E0B" w:rsidRPr="00FB1155">
        <w:rPr>
          <w:color w:val="auto"/>
        </w:rPr>
        <w:t>erijai prašant, per jos nustatytą terminą</w:t>
      </w:r>
      <w:r w:rsidR="00637D72" w:rsidRPr="00FB1155">
        <w:rPr>
          <w:color w:val="auto"/>
        </w:rPr>
        <w:t xml:space="preserve">, kuris negali būti trumpesnis kaip 5 darbo dienos, turi pateikti Ministerijai papildomą informaciją, susijusią su Strategijos įgyvendinimu. </w:t>
      </w:r>
    </w:p>
    <w:p w14:paraId="46C14717" w14:textId="7C519DF6" w:rsidR="00637D72" w:rsidRPr="00FB1155" w:rsidRDefault="00637D72" w:rsidP="005601F9">
      <w:pPr>
        <w:pStyle w:val="Default"/>
        <w:numPr>
          <w:ilvl w:val="0"/>
          <w:numId w:val="7"/>
        </w:numPr>
        <w:spacing w:before="120" w:after="120"/>
        <w:jc w:val="both"/>
        <w:rPr>
          <w:color w:val="auto"/>
        </w:rPr>
      </w:pPr>
      <w:r w:rsidRPr="00FB1155">
        <w:rPr>
          <w:color w:val="auto"/>
        </w:rPr>
        <w:t xml:space="preserve">Jei </w:t>
      </w:r>
      <w:r w:rsidR="001B795F" w:rsidRPr="00FB1155">
        <w:rPr>
          <w:color w:val="auto"/>
        </w:rPr>
        <w:t>Anykščių</w:t>
      </w:r>
      <w:r w:rsidR="00235DCE" w:rsidRPr="00FB1155">
        <w:rPr>
          <w:color w:val="auto"/>
        </w:rPr>
        <w:t xml:space="preserve"> miesto</w:t>
      </w:r>
      <w:r w:rsidRPr="00FB1155">
        <w:rPr>
          <w:color w:val="auto"/>
        </w:rPr>
        <w:t xml:space="preserve"> VVG, pasibaigus ataskaitų pateikimo terminui, nepateikė Metinės arba Galutinės ataskaitos, Ministerija raštu arba elektroniniu paštu informuoja </w:t>
      </w:r>
      <w:r w:rsidR="001B795F" w:rsidRPr="00FB1155">
        <w:rPr>
          <w:color w:val="auto"/>
        </w:rPr>
        <w:t>Anykščių</w:t>
      </w:r>
      <w:r w:rsidR="00235DCE" w:rsidRPr="00FB1155">
        <w:rPr>
          <w:color w:val="auto"/>
        </w:rPr>
        <w:t xml:space="preserve"> miesto</w:t>
      </w:r>
      <w:r w:rsidRPr="00FB1155">
        <w:rPr>
          <w:color w:val="auto"/>
        </w:rPr>
        <w:t xml:space="preserve"> VVG ir nustato ne ilgesnį kaip 30 darbo dienų terminą ataskaitai pateikti. </w:t>
      </w:r>
      <w:r w:rsidR="001B795F" w:rsidRPr="00FB1155">
        <w:rPr>
          <w:color w:val="auto"/>
        </w:rPr>
        <w:t>Anykščių</w:t>
      </w:r>
      <w:r w:rsidRPr="00FB1155">
        <w:rPr>
          <w:color w:val="auto"/>
        </w:rPr>
        <w:t xml:space="preserve"> </w:t>
      </w:r>
      <w:r w:rsidR="00235DCE" w:rsidRPr="00FB1155">
        <w:rPr>
          <w:color w:val="auto"/>
        </w:rPr>
        <w:t>miesto</w:t>
      </w:r>
      <w:r w:rsidRPr="00FB1155">
        <w:rPr>
          <w:color w:val="auto"/>
        </w:rPr>
        <w:t xml:space="preserve"> VVG per nustatytą terminą nepateikus ataskaitos, Ministerija raštu informuoja įgyvendinančiąją instituciją. </w:t>
      </w:r>
    </w:p>
    <w:p w14:paraId="115D02E5" w14:textId="29247ACC" w:rsidR="00637D72" w:rsidRPr="00FB1155" w:rsidRDefault="00F37799" w:rsidP="00001358">
      <w:pPr>
        <w:pStyle w:val="Heading2"/>
        <w:ind w:left="426" w:hanging="432"/>
        <w:rPr>
          <w:rFonts w:ascii="Times New Roman" w:hAnsi="Times New Roman"/>
          <w:szCs w:val="24"/>
        </w:rPr>
      </w:pPr>
      <w:bookmarkStart w:id="16" w:name="_Toc484547352"/>
      <w:r w:rsidRPr="00FB1155">
        <w:rPr>
          <w:rFonts w:ascii="Times New Roman" w:hAnsi="Times New Roman"/>
          <w:szCs w:val="24"/>
        </w:rPr>
        <w:t>III</w:t>
      </w:r>
      <w:r w:rsidR="00001358" w:rsidRPr="00FB1155">
        <w:rPr>
          <w:rFonts w:ascii="Times New Roman" w:hAnsi="Times New Roman"/>
          <w:szCs w:val="24"/>
        </w:rPr>
        <w:t xml:space="preserve"> </w:t>
      </w:r>
      <w:r w:rsidRPr="00FB1155">
        <w:rPr>
          <w:rFonts w:ascii="Times New Roman" w:hAnsi="Times New Roman"/>
          <w:szCs w:val="24"/>
        </w:rPr>
        <w:t>Skirsnis</w:t>
      </w:r>
      <w:r w:rsidR="00001358" w:rsidRPr="00FB1155">
        <w:rPr>
          <w:rFonts w:ascii="Times New Roman" w:hAnsi="Times New Roman"/>
          <w:szCs w:val="24"/>
        </w:rPr>
        <w:t xml:space="preserve">. </w:t>
      </w:r>
      <w:r w:rsidR="008A263A">
        <w:rPr>
          <w:rFonts w:ascii="Times New Roman" w:hAnsi="Times New Roman"/>
          <w:szCs w:val="24"/>
        </w:rPr>
        <w:t>S</w:t>
      </w:r>
      <w:r w:rsidR="00001358" w:rsidRPr="00FB1155">
        <w:rPr>
          <w:rFonts w:ascii="Times New Roman" w:hAnsi="Times New Roman"/>
          <w:szCs w:val="24"/>
        </w:rPr>
        <w:t>trategijos keitimas</w:t>
      </w:r>
      <w:bookmarkEnd w:id="16"/>
    </w:p>
    <w:p w14:paraId="3844BD78" w14:textId="5BD5EAD1" w:rsidR="00637D72" w:rsidRPr="00FB1155" w:rsidRDefault="001B795F" w:rsidP="00483D6C">
      <w:pPr>
        <w:pStyle w:val="Default"/>
        <w:numPr>
          <w:ilvl w:val="0"/>
          <w:numId w:val="7"/>
        </w:numPr>
        <w:spacing w:before="120" w:after="120"/>
        <w:jc w:val="both"/>
        <w:rPr>
          <w:color w:val="auto"/>
        </w:rPr>
      </w:pPr>
      <w:r w:rsidRPr="00FB1155">
        <w:rPr>
          <w:color w:val="auto"/>
        </w:rPr>
        <w:t>Anykščių</w:t>
      </w:r>
      <w:r w:rsidR="00235DCE" w:rsidRPr="00FB1155">
        <w:rPr>
          <w:color w:val="auto"/>
        </w:rPr>
        <w:t xml:space="preserve"> miesto</w:t>
      </w:r>
      <w:r w:rsidR="00637D72" w:rsidRPr="00FB1155">
        <w:rPr>
          <w:color w:val="auto"/>
        </w:rPr>
        <w:t xml:space="preserve"> VVG gali inicijuoti Strategijos keitimą. Strategijos pakeitimus tvirtina </w:t>
      </w:r>
      <w:r w:rsidR="00BA76E0">
        <w:rPr>
          <w:color w:val="auto"/>
        </w:rPr>
        <w:t xml:space="preserve">Anykščių miesto </w:t>
      </w:r>
      <w:r w:rsidR="00BA76E0" w:rsidRPr="00F2287E">
        <w:rPr>
          <w:rFonts w:eastAsia="Times New Roman"/>
          <w:lang w:eastAsia="lt-LT"/>
        </w:rPr>
        <w:t>VVG visuotinis narių susirinkimas</w:t>
      </w:r>
      <w:r w:rsidR="00637D72" w:rsidRPr="00FB1155">
        <w:rPr>
          <w:color w:val="auto"/>
        </w:rPr>
        <w:t xml:space="preserve">. Prieš tvirtinant Strategijos pakeitimą turi būti atlikti veiksmai, nustatyti </w:t>
      </w:r>
      <w:r w:rsidR="00483D6C" w:rsidRPr="00FB1155">
        <w:rPr>
          <w:color w:val="auto"/>
        </w:rPr>
        <w:t xml:space="preserve">Vietos plėtros strategijų rengimo </w:t>
      </w:r>
      <w:r w:rsidR="00637D72" w:rsidRPr="00FB1155">
        <w:rPr>
          <w:color w:val="auto"/>
        </w:rPr>
        <w:t xml:space="preserve">taisyklių 24 punkte. Strategijos keitimas turi būti raštu suderintas su Ministerija. </w:t>
      </w:r>
    </w:p>
    <w:p w14:paraId="756DE184" w14:textId="13069363" w:rsidR="00483D6C" w:rsidRPr="00FB1155" w:rsidRDefault="001B795F" w:rsidP="001B795F">
      <w:pPr>
        <w:pStyle w:val="Default"/>
        <w:numPr>
          <w:ilvl w:val="0"/>
          <w:numId w:val="7"/>
        </w:numPr>
        <w:spacing w:before="120" w:after="120"/>
        <w:jc w:val="both"/>
        <w:rPr>
          <w:color w:val="auto"/>
        </w:rPr>
      </w:pPr>
      <w:r w:rsidRPr="00FB1155">
        <w:rPr>
          <w:color w:val="auto"/>
        </w:rPr>
        <w:t>Anykščių</w:t>
      </w:r>
      <w:r w:rsidR="00637D72" w:rsidRPr="00FB1155">
        <w:rPr>
          <w:color w:val="auto"/>
        </w:rPr>
        <w:t xml:space="preserve"> m</w:t>
      </w:r>
      <w:r w:rsidR="001C6F80" w:rsidRPr="00FB1155">
        <w:rPr>
          <w:color w:val="auto"/>
        </w:rPr>
        <w:t>iesto</w:t>
      </w:r>
      <w:r w:rsidR="00637D72" w:rsidRPr="00FB1155">
        <w:rPr>
          <w:color w:val="auto"/>
        </w:rPr>
        <w:t xml:space="preserve"> </w:t>
      </w:r>
      <w:r w:rsidR="00483D6C" w:rsidRPr="00FB1155">
        <w:rPr>
          <w:color w:val="auto"/>
        </w:rPr>
        <w:t>VVG gali keisti Strategiją kai:</w:t>
      </w:r>
    </w:p>
    <w:p w14:paraId="78C0E1E2" w14:textId="10E917B7" w:rsidR="00637D72" w:rsidRPr="00FB1155" w:rsidRDefault="00637D72" w:rsidP="00483D6C">
      <w:pPr>
        <w:pStyle w:val="Default"/>
        <w:numPr>
          <w:ilvl w:val="1"/>
          <w:numId w:val="27"/>
        </w:numPr>
        <w:spacing w:before="120" w:after="120"/>
        <w:jc w:val="both"/>
        <w:rPr>
          <w:color w:val="auto"/>
        </w:rPr>
      </w:pPr>
      <w:r w:rsidRPr="00FB1155">
        <w:rPr>
          <w:color w:val="auto"/>
        </w:rPr>
        <w:t xml:space="preserve">būtina keisti dėl teisės aktų, reglamentuojančių vietos plėtros strategijų įgyvendinimą, pakeitimų; </w:t>
      </w:r>
    </w:p>
    <w:p w14:paraId="1AA689B3" w14:textId="1A783855" w:rsidR="00637D72" w:rsidRPr="00FB1155" w:rsidRDefault="00637D72" w:rsidP="00483D6C">
      <w:pPr>
        <w:pStyle w:val="Default"/>
        <w:numPr>
          <w:ilvl w:val="1"/>
          <w:numId w:val="27"/>
        </w:numPr>
        <w:spacing w:before="120" w:after="120"/>
        <w:jc w:val="both"/>
        <w:rPr>
          <w:color w:val="auto"/>
        </w:rPr>
      </w:pPr>
      <w:r w:rsidRPr="00FB1155">
        <w:rPr>
          <w:color w:val="auto"/>
        </w:rPr>
        <w:t xml:space="preserve">būtina keisti suplanuotų lėšų paskirstymą tarp Strategijos uždavinių ir veiksmo sričių; </w:t>
      </w:r>
    </w:p>
    <w:p w14:paraId="01FD4F67" w14:textId="282A1665" w:rsidR="00637D72" w:rsidRPr="00FB1155" w:rsidRDefault="00637D72" w:rsidP="00483D6C">
      <w:pPr>
        <w:pStyle w:val="Default"/>
        <w:numPr>
          <w:ilvl w:val="1"/>
          <w:numId w:val="27"/>
        </w:numPr>
        <w:spacing w:before="120" w:after="120"/>
        <w:jc w:val="both"/>
        <w:rPr>
          <w:color w:val="auto"/>
        </w:rPr>
      </w:pPr>
      <w:r w:rsidRPr="00FB1155">
        <w:rPr>
          <w:color w:val="auto"/>
        </w:rPr>
        <w:t xml:space="preserve">būtina keisti didžiausią galimą ES struktūrinių fondų ir valstybės biudžeto lėšų paramos sumą vienam Strategijos veiksmui įgyvendinti pagal skirtingus Strategijos uždavinius; </w:t>
      </w:r>
    </w:p>
    <w:p w14:paraId="6DDBDECF" w14:textId="169860F7" w:rsidR="00637D72" w:rsidRPr="00FB1155" w:rsidRDefault="00637D72" w:rsidP="00483D6C">
      <w:pPr>
        <w:pStyle w:val="Default"/>
        <w:numPr>
          <w:ilvl w:val="1"/>
          <w:numId w:val="27"/>
        </w:numPr>
        <w:spacing w:before="120" w:after="120"/>
        <w:jc w:val="both"/>
        <w:rPr>
          <w:color w:val="auto"/>
        </w:rPr>
      </w:pPr>
      <w:r w:rsidRPr="00FB1155">
        <w:rPr>
          <w:color w:val="auto"/>
        </w:rPr>
        <w:t xml:space="preserve">būtina patikslinti Strategijos veiksmų sąrašą, siekiant įgyvendinti Strategijoje numatytus rodiklius. </w:t>
      </w:r>
    </w:p>
    <w:p w14:paraId="26FF947A" w14:textId="41E4BC42" w:rsidR="00637D72" w:rsidRPr="00FB1155" w:rsidRDefault="00637D72" w:rsidP="00235DCE">
      <w:pPr>
        <w:pStyle w:val="Default"/>
        <w:numPr>
          <w:ilvl w:val="0"/>
          <w:numId w:val="7"/>
        </w:numPr>
        <w:spacing w:before="120" w:after="120"/>
        <w:jc w:val="both"/>
        <w:rPr>
          <w:color w:val="auto"/>
        </w:rPr>
      </w:pPr>
      <w:r w:rsidRPr="00FB1155">
        <w:rPr>
          <w:color w:val="auto"/>
        </w:rPr>
        <w:t xml:space="preserve">Ministerija, gavusi Strategijos pakeitimą ir su šiuo pakeitimu susijusius dokumentus per 10 darbo dienų teikia Komitetui motyvuotą siūlymą dėl pritarimo/nepritarimo Strategijos pakeitimui. Komitetas per 10 darbo dienų nuo siūlymo gavimo priima sprendimą dėl Strategijos </w:t>
      </w:r>
      <w:r w:rsidRPr="00FB1155">
        <w:rPr>
          <w:color w:val="auto"/>
        </w:rPr>
        <w:lastRenderedPageBreak/>
        <w:t xml:space="preserve">pakeitimo. Komitetas įvertina, ar atlikus Strategijos pakeitimą, Strategija duos tiek pat arba daugiau naudos ir efektyviau bus siekiama Strategijoje nustatyto tikslo įgyvendinimo. Jeigu Komitetas nustato, kad dėl Strategijos pakeitimo </w:t>
      </w:r>
      <w:r w:rsidR="001B795F" w:rsidRPr="00FB1155">
        <w:rPr>
          <w:color w:val="auto"/>
        </w:rPr>
        <w:t>Anykščių</w:t>
      </w:r>
      <w:r w:rsidR="00483D6C" w:rsidRPr="00FB1155">
        <w:rPr>
          <w:color w:val="auto"/>
        </w:rPr>
        <w:t xml:space="preserve"> miesto</w:t>
      </w:r>
      <w:r w:rsidRPr="00FB1155">
        <w:rPr>
          <w:color w:val="auto"/>
        </w:rPr>
        <w:t xml:space="preserve"> VVG negalės pasiekti Strategijoje nustatyto tikslo (-ų) ir tolesnis Strategijos įgyvendinimas būtų neefektyvus, Komitetas nepritaria Strategijos keitimui. </w:t>
      </w:r>
    </w:p>
    <w:p w14:paraId="3E322B00" w14:textId="7990C5A6" w:rsidR="00637D72" w:rsidRPr="00FB1155" w:rsidRDefault="00637D72" w:rsidP="00483D6C">
      <w:pPr>
        <w:pStyle w:val="Default"/>
        <w:numPr>
          <w:ilvl w:val="0"/>
          <w:numId w:val="7"/>
        </w:numPr>
        <w:spacing w:before="120" w:after="120"/>
        <w:jc w:val="both"/>
        <w:rPr>
          <w:color w:val="auto"/>
        </w:rPr>
      </w:pPr>
      <w:r w:rsidRPr="00FB1155">
        <w:rPr>
          <w:color w:val="auto"/>
        </w:rPr>
        <w:t xml:space="preserve">Komitetui priėmus sprendimą dėl Strategijos pakeitimo Ministerijos Regioninės politikos departamentas parengia Lietuvos Respublikos vidaus reikalų ministro įsakymo, kuriuo patvirtintas vietos plėtros strategijų sąrašas, pakeitimo projektą ir pateikia jį Lietuvos Respublikos vidaus reikalų ministrui. Regioninės politikos departamentas per 5 darbo dienas nuo šio įsakymo patvirtinimo raštu informuoja </w:t>
      </w:r>
      <w:r w:rsidR="001B795F" w:rsidRPr="00FB1155">
        <w:rPr>
          <w:color w:val="auto"/>
        </w:rPr>
        <w:t>Anykščių</w:t>
      </w:r>
      <w:r w:rsidR="00483D6C" w:rsidRPr="00FB1155">
        <w:rPr>
          <w:color w:val="auto"/>
        </w:rPr>
        <w:t xml:space="preserve"> miesto</w:t>
      </w:r>
      <w:r w:rsidRPr="00FB1155">
        <w:rPr>
          <w:color w:val="auto"/>
        </w:rPr>
        <w:t xml:space="preserve"> VVG apie priimtą sprendimą. </w:t>
      </w:r>
    </w:p>
    <w:p w14:paraId="49959445" w14:textId="277195A2" w:rsidR="00637D72" w:rsidRDefault="00F37799" w:rsidP="00D84F99">
      <w:pPr>
        <w:pStyle w:val="Heading1"/>
      </w:pPr>
      <w:bookmarkStart w:id="17" w:name="_Toc484547353"/>
      <w:r w:rsidRPr="00FB1155">
        <w:lastRenderedPageBreak/>
        <w:t>Skyrius</w:t>
      </w:r>
      <w:r w:rsidR="00FE0A58" w:rsidRPr="00FB1155">
        <w:t xml:space="preserve">. </w:t>
      </w:r>
      <w:r w:rsidR="00D84F99" w:rsidRPr="00D84F99">
        <w:t>Strategijos įgyvendinimo planas</w:t>
      </w:r>
      <w:bookmarkEnd w:id="17"/>
    </w:p>
    <w:p w14:paraId="05735CBC" w14:textId="28DDC46E" w:rsidR="00D84F99" w:rsidRPr="00D84F99" w:rsidRDefault="00D84F99" w:rsidP="00D84F99">
      <w:pPr>
        <w:pStyle w:val="ListParagraph"/>
        <w:numPr>
          <w:ilvl w:val="0"/>
          <w:numId w:val="7"/>
        </w:numPr>
        <w:rPr>
          <w:rFonts w:ascii="Times New Roman" w:hAnsi="Times New Roman" w:cs="Times New Roman"/>
          <w:color w:val="000000"/>
          <w:sz w:val="24"/>
          <w:szCs w:val="24"/>
          <w:lang w:bidi="en-US"/>
        </w:rPr>
      </w:pPr>
      <w:r w:rsidRPr="00D84F99">
        <w:rPr>
          <w:rFonts w:ascii="Times New Roman" w:hAnsi="Times New Roman" w:cs="Times New Roman"/>
          <w:color w:val="000000"/>
          <w:sz w:val="24"/>
          <w:szCs w:val="24"/>
          <w:lang w:bidi="en-US"/>
        </w:rPr>
        <w:t>Strategijos</w:t>
      </w:r>
      <w:r w:rsidR="009C202C">
        <w:rPr>
          <w:rFonts w:ascii="Times New Roman" w:hAnsi="Times New Roman" w:cs="Times New Roman"/>
          <w:color w:val="000000"/>
          <w:sz w:val="24"/>
          <w:szCs w:val="24"/>
          <w:lang w:bidi="en-US"/>
        </w:rPr>
        <w:t xml:space="preserve"> siekiami </w:t>
      </w:r>
      <w:r w:rsidRPr="00D84F99">
        <w:rPr>
          <w:rFonts w:ascii="Times New Roman" w:hAnsi="Times New Roman" w:cs="Times New Roman"/>
          <w:color w:val="000000"/>
          <w:sz w:val="24"/>
          <w:szCs w:val="24"/>
          <w:lang w:bidi="en-US"/>
        </w:rPr>
        <w:t>tikslai, uždaviniai ir veiksmai:</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701"/>
        <w:gridCol w:w="5954"/>
      </w:tblGrid>
      <w:tr w:rsidR="00D84F99" w:rsidRPr="000F5242" w14:paraId="237803FF" w14:textId="77777777" w:rsidTr="00D84F99">
        <w:tc>
          <w:tcPr>
            <w:tcW w:w="1134" w:type="dxa"/>
            <w:vMerge w:val="restart"/>
            <w:shd w:val="clear" w:color="auto" w:fill="auto"/>
          </w:tcPr>
          <w:p w14:paraId="2DF30452" w14:textId="77777777" w:rsidR="00D84F99" w:rsidRPr="00D84F99" w:rsidRDefault="00D84F99" w:rsidP="00D84F99">
            <w:pPr>
              <w:ind w:right="-108"/>
              <w:rPr>
                <w:rFonts w:ascii="Times New Roman" w:hAnsi="Times New Roman" w:cs="Times New Roman"/>
                <w:b/>
                <w:lang w:val="lt-LT"/>
              </w:rPr>
            </w:pPr>
            <w:r w:rsidRPr="00D84F99">
              <w:rPr>
                <w:rFonts w:ascii="Times New Roman" w:hAnsi="Times New Roman" w:cs="Times New Roman"/>
                <w:b/>
                <w:lang w:val="lt-LT"/>
              </w:rPr>
              <w:t>1. Tikslas</w:t>
            </w:r>
          </w:p>
        </w:tc>
        <w:tc>
          <w:tcPr>
            <w:tcW w:w="8931" w:type="dxa"/>
            <w:gridSpan w:val="3"/>
            <w:shd w:val="clear" w:color="auto" w:fill="auto"/>
          </w:tcPr>
          <w:p w14:paraId="5EF977DB" w14:textId="77777777" w:rsidR="00D84F99" w:rsidRPr="00D84F99" w:rsidRDefault="00D84F99" w:rsidP="00D84F99">
            <w:pPr>
              <w:rPr>
                <w:rFonts w:ascii="Times New Roman" w:hAnsi="Times New Roman" w:cs="Times New Roman"/>
                <w:b/>
                <w:lang w:val="lt-LT"/>
              </w:rPr>
            </w:pPr>
            <w:r w:rsidRPr="00D84F99">
              <w:rPr>
                <w:rFonts w:ascii="Times New Roman" w:hAnsi="Times New Roman" w:cs="Times New Roman"/>
                <w:b/>
                <w:lang w:val="lt-LT"/>
              </w:rPr>
              <w:t>Paskatinti gyventojų ekonominį aktyvumą ir pagerinti įsidarbinimo galimybes Anykščių mieste</w:t>
            </w:r>
          </w:p>
        </w:tc>
      </w:tr>
      <w:tr w:rsidR="00D84F99" w:rsidRPr="000F5242" w14:paraId="1CD6C0BA" w14:textId="77777777" w:rsidTr="00D84F99">
        <w:tc>
          <w:tcPr>
            <w:tcW w:w="1134" w:type="dxa"/>
            <w:vMerge/>
            <w:shd w:val="clear" w:color="auto" w:fill="auto"/>
          </w:tcPr>
          <w:p w14:paraId="4E3E15A4" w14:textId="77777777" w:rsidR="00D84F99" w:rsidRPr="00D84F99" w:rsidRDefault="00D84F99" w:rsidP="00D84F99">
            <w:pPr>
              <w:rPr>
                <w:rFonts w:ascii="Times New Roman" w:hAnsi="Times New Roman" w:cs="Times New Roman"/>
                <w:lang w:val="lt-LT"/>
              </w:rPr>
            </w:pPr>
          </w:p>
        </w:tc>
        <w:tc>
          <w:tcPr>
            <w:tcW w:w="1276" w:type="dxa"/>
            <w:vMerge w:val="restart"/>
            <w:shd w:val="clear" w:color="auto" w:fill="auto"/>
          </w:tcPr>
          <w:p w14:paraId="3ED123C6" w14:textId="77777777" w:rsidR="00D84F99" w:rsidRPr="00D84F99" w:rsidRDefault="00D84F99" w:rsidP="00D84F99">
            <w:pPr>
              <w:ind w:right="-108"/>
              <w:rPr>
                <w:rFonts w:ascii="Times New Roman" w:hAnsi="Times New Roman" w:cs="Times New Roman"/>
                <w:lang w:val="lt-LT"/>
              </w:rPr>
            </w:pPr>
            <w:r w:rsidRPr="00D84F99">
              <w:rPr>
                <w:rFonts w:ascii="Times New Roman" w:hAnsi="Times New Roman" w:cs="Times New Roman"/>
                <w:lang w:val="lt-LT"/>
              </w:rPr>
              <w:t>1.1. Uždavinys</w:t>
            </w:r>
          </w:p>
        </w:tc>
        <w:tc>
          <w:tcPr>
            <w:tcW w:w="7655" w:type="dxa"/>
            <w:gridSpan w:val="2"/>
            <w:shd w:val="clear" w:color="auto" w:fill="auto"/>
          </w:tcPr>
          <w:p w14:paraId="78562BAF"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Skatinti smulkaus, bendruomeninio ir socialinio verslo kūrimą ir plėtrą Anykščių mieste</w:t>
            </w:r>
          </w:p>
        </w:tc>
      </w:tr>
      <w:tr w:rsidR="00D84F99" w:rsidRPr="000F5242" w14:paraId="574E46BB" w14:textId="77777777" w:rsidTr="00D84F99">
        <w:tc>
          <w:tcPr>
            <w:tcW w:w="1134" w:type="dxa"/>
            <w:vMerge/>
            <w:shd w:val="clear" w:color="auto" w:fill="auto"/>
          </w:tcPr>
          <w:p w14:paraId="75AC65A0" w14:textId="77777777" w:rsidR="00D84F99" w:rsidRPr="00D84F99" w:rsidRDefault="00D84F99" w:rsidP="00D84F99">
            <w:pPr>
              <w:rPr>
                <w:rFonts w:ascii="Times New Roman" w:hAnsi="Times New Roman" w:cs="Times New Roman"/>
                <w:lang w:val="lt-LT"/>
              </w:rPr>
            </w:pPr>
          </w:p>
        </w:tc>
        <w:tc>
          <w:tcPr>
            <w:tcW w:w="1276" w:type="dxa"/>
            <w:vMerge/>
            <w:shd w:val="clear" w:color="auto" w:fill="auto"/>
          </w:tcPr>
          <w:p w14:paraId="71C3A4F5" w14:textId="77777777" w:rsidR="00D84F99" w:rsidRPr="00D84F99" w:rsidRDefault="00D84F99" w:rsidP="00D84F99">
            <w:pPr>
              <w:rPr>
                <w:rFonts w:ascii="Times New Roman" w:hAnsi="Times New Roman" w:cs="Times New Roman"/>
                <w:lang w:val="lt-LT"/>
              </w:rPr>
            </w:pPr>
          </w:p>
        </w:tc>
        <w:tc>
          <w:tcPr>
            <w:tcW w:w="1701" w:type="dxa"/>
            <w:shd w:val="clear" w:color="auto" w:fill="auto"/>
          </w:tcPr>
          <w:p w14:paraId="799C3254"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1.1.1. veiksmas</w:t>
            </w:r>
          </w:p>
        </w:tc>
        <w:tc>
          <w:tcPr>
            <w:tcW w:w="5954" w:type="dxa"/>
            <w:shd w:val="clear" w:color="auto" w:fill="auto"/>
            <w:vAlign w:val="center"/>
          </w:tcPr>
          <w:p w14:paraId="7843ACEF"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Vietos valdžios, verslo ir bendruomenės bendradarbiavimo pagrindu veikiančio socialinio ir bendruomeninio verslo ir paslaugų klasterio sukūrimas Anykščiuose, išnaudojant sukurtą viešąją infrastruktūrą.</w:t>
            </w:r>
          </w:p>
        </w:tc>
      </w:tr>
      <w:tr w:rsidR="00D84F99" w:rsidRPr="000F5242" w14:paraId="74CC1F7E" w14:textId="77777777" w:rsidTr="00D84F99">
        <w:tc>
          <w:tcPr>
            <w:tcW w:w="1134" w:type="dxa"/>
            <w:vMerge/>
            <w:shd w:val="clear" w:color="auto" w:fill="auto"/>
          </w:tcPr>
          <w:p w14:paraId="70FC6227" w14:textId="77777777" w:rsidR="00D84F99" w:rsidRPr="00D84F99" w:rsidRDefault="00D84F99" w:rsidP="00D84F99">
            <w:pPr>
              <w:rPr>
                <w:rFonts w:ascii="Times New Roman" w:hAnsi="Times New Roman" w:cs="Times New Roman"/>
                <w:lang w:val="lt-LT"/>
              </w:rPr>
            </w:pPr>
          </w:p>
        </w:tc>
        <w:tc>
          <w:tcPr>
            <w:tcW w:w="1276" w:type="dxa"/>
            <w:vMerge/>
            <w:shd w:val="clear" w:color="auto" w:fill="auto"/>
          </w:tcPr>
          <w:p w14:paraId="1D4E536D" w14:textId="77777777" w:rsidR="00D84F99" w:rsidRPr="00D84F99" w:rsidRDefault="00D84F99" w:rsidP="00D84F99">
            <w:pPr>
              <w:rPr>
                <w:rFonts w:ascii="Times New Roman" w:hAnsi="Times New Roman" w:cs="Times New Roman"/>
                <w:lang w:val="lt-LT"/>
              </w:rPr>
            </w:pPr>
          </w:p>
        </w:tc>
        <w:tc>
          <w:tcPr>
            <w:tcW w:w="1701" w:type="dxa"/>
            <w:shd w:val="clear" w:color="auto" w:fill="auto"/>
          </w:tcPr>
          <w:p w14:paraId="60E34DBE"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1.1.2. veiksmas</w:t>
            </w:r>
          </w:p>
        </w:tc>
        <w:tc>
          <w:tcPr>
            <w:tcW w:w="5954" w:type="dxa"/>
            <w:shd w:val="clear" w:color="auto" w:fill="auto"/>
            <w:vAlign w:val="center"/>
          </w:tcPr>
          <w:p w14:paraId="0B2A675D"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Anykščių miesto gyventojų verslumui didinti (t. y., verslo kūrimui ir pradedamo verslo plėtojimui reikalingiems gebėjimams stiprinti) skirtų iniciatyvų įgyvendinimas, siekiant pagerinti darbingų vietos veiklos grupės teritorijos gyventojų padėtį darbo rinkoje</w:t>
            </w:r>
          </w:p>
        </w:tc>
      </w:tr>
      <w:tr w:rsidR="00D84F99" w:rsidRPr="000F5242" w14:paraId="19287984" w14:textId="77777777" w:rsidTr="00D84F99">
        <w:tc>
          <w:tcPr>
            <w:tcW w:w="1134" w:type="dxa"/>
            <w:vMerge/>
            <w:shd w:val="clear" w:color="auto" w:fill="auto"/>
          </w:tcPr>
          <w:p w14:paraId="55E11444" w14:textId="77777777" w:rsidR="00D84F99" w:rsidRPr="00D84F99" w:rsidRDefault="00D84F99" w:rsidP="00D84F99">
            <w:pPr>
              <w:rPr>
                <w:rFonts w:ascii="Times New Roman" w:hAnsi="Times New Roman" w:cs="Times New Roman"/>
                <w:lang w:val="lt-LT"/>
              </w:rPr>
            </w:pPr>
          </w:p>
        </w:tc>
        <w:tc>
          <w:tcPr>
            <w:tcW w:w="1276" w:type="dxa"/>
            <w:vMerge/>
            <w:shd w:val="clear" w:color="auto" w:fill="auto"/>
          </w:tcPr>
          <w:p w14:paraId="36D35955" w14:textId="77777777" w:rsidR="00D84F99" w:rsidRPr="00D84F99" w:rsidRDefault="00D84F99" w:rsidP="00D84F99">
            <w:pPr>
              <w:rPr>
                <w:rFonts w:ascii="Times New Roman" w:hAnsi="Times New Roman" w:cs="Times New Roman"/>
                <w:lang w:val="lt-LT"/>
              </w:rPr>
            </w:pPr>
          </w:p>
        </w:tc>
        <w:tc>
          <w:tcPr>
            <w:tcW w:w="1701" w:type="dxa"/>
            <w:shd w:val="clear" w:color="auto" w:fill="auto"/>
          </w:tcPr>
          <w:p w14:paraId="6516E98B"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1.1.3. veiksmas</w:t>
            </w:r>
          </w:p>
        </w:tc>
        <w:tc>
          <w:tcPr>
            <w:tcW w:w="5954" w:type="dxa"/>
            <w:shd w:val="clear" w:color="auto" w:fill="auto"/>
            <w:vAlign w:val="center"/>
          </w:tcPr>
          <w:p w14:paraId="3B0A6744"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Bendradarbiavimo tinklo tarp Anykščių miesto ir Anykščių rajono VVG teritorijoje veikiančių verslo subjektų sukūrimas siekiant organizuoti mikroverslo logistines sistemas</w:t>
            </w:r>
          </w:p>
        </w:tc>
      </w:tr>
      <w:tr w:rsidR="00D84F99" w:rsidRPr="000F5242" w14:paraId="4FD3C8BC" w14:textId="77777777" w:rsidTr="00D84F99">
        <w:tc>
          <w:tcPr>
            <w:tcW w:w="1134" w:type="dxa"/>
            <w:vMerge/>
            <w:shd w:val="clear" w:color="auto" w:fill="auto"/>
          </w:tcPr>
          <w:p w14:paraId="40CA8050" w14:textId="77777777" w:rsidR="00D84F99" w:rsidRPr="00D84F99" w:rsidRDefault="00D84F99" w:rsidP="00D84F99">
            <w:pPr>
              <w:rPr>
                <w:rFonts w:ascii="Times New Roman" w:hAnsi="Times New Roman" w:cs="Times New Roman"/>
                <w:lang w:val="lt-LT"/>
              </w:rPr>
            </w:pPr>
          </w:p>
        </w:tc>
        <w:tc>
          <w:tcPr>
            <w:tcW w:w="1276" w:type="dxa"/>
            <w:vMerge w:val="restart"/>
            <w:shd w:val="clear" w:color="auto" w:fill="auto"/>
          </w:tcPr>
          <w:p w14:paraId="33A96237" w14:textId="77777777" w:rsidR="00D84F99" w:rsidRPr="00D84F99" w:rsidRDefault="00D84F99" w:rsidP="00D84F99">
            <w:pPr>
              <w:ind w:right="-108"/>
              <w:rPr>
                <w:rFonts w:ascii="Times New Roman" w:hAnsi="Times New Roman" w:cs="Times New Roman"/>
                <w:lang w:val="lt-LT"/>
              </w:rPr>
            </w:pPr>
            <w:r w:rsidRPr="00D84F99">
              <w:rPr>
                <w:rFonts w:ascii="Times New Roman" w:hAnsi="Times New Roman" w:cs="Times New Roman"/>
                <w:lang w:val="lt-LT"/>
              </w:rPr>
              <w:t>1.2. Uždavinys</w:t>
            </w:r>
          </w:p>
        </w:tc>
        <w:tc>
          <w:tcPr>
            <w:tcW w:w="7655" w:type="dxa"/>
            <w:gridSpan w:val="2"/>
            <w:shd w:val="clear" w:color="auto" w:fill="auto"/>
          </w:tcPr>
          <w:p w14:paraId="0429BA11"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Suteikti Anykščių miesto gyventojų įsidarbinimui reikalingus įgūdžius ir informaciją</w:t>
            </w:r>
          </w:p>
        </w:tc>
      </w:tr>
      <w:tr w:rsidR="00D84F99" w:rsidRPr="00D84F99" w14:paraId="116496BF" w14:textId="77777777" w:rsidTr="00D84F99">
        <w:tc>
          <w:tcPr>
            <w:tcW w:w="1134" w:type="dxa"/>
            <w:vMerge/>
            <w:shd w:val="clear" w:color="auto" w:fill="auto"/>
          </w:tcPr>
          <w:p w14:paraId="0AC8B4BC" w14:textId="77777777" w:rsidR="00D84F99" w:rsidRPr="00D84F99" w:rsidRDefault="00D84F99" w:rsidP="00D84F99">
            <w:pPr>
              <w:rPr>
                <w:rFonts w:ascii="Times New Roman" w:hAnsi="Times New Roman" w:cs="Times New Roman"/>
                <w:lang w:val="lt-LT"/>
              </w:rPr>
            </w:pPr>
          </w:p>
        </w:tc>
        <w:tc>
          <w:tcPr>
            <w:tcW w:w="1276" w:type="dxa"/>
            <w:vMerge/>
            <w:shd w:val="clear" w:color="auto" w:fill="auto"/>
          </w:tcPr>
          <w:p w14:paraId="50CA3B01" w14:textId="77777777" w:rsidR="00D84F99" w:rsidRPr="00D84F99" w:rsidRDefault="00D84F99" w:rsidP="00D84F99">
            <w:pPr>
              <w:rPr>
                <w:rFonts w:ascii="Times New Roman" w:hAnsi="Times New Roman" w:cs="Times New Roman"/>
                <w:lang w:val="lt-LT"/>
              </w:rPr>
            </w:pPr>
          </w:p>
        </w:tc>
        <w:tc>
          <w:tcPr>
            <w:tcW w:w="1701" w:type="dxa"/>
            <w:shd w:val="clear" w:color="auto" w:fill="auto"/>
          </w:tcPr>
          <w:p w14:paraId="794683BB"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1.2.1. veiksmas.</w:t>
            </w:r>
          </w:p>
        </w:tc>
        <w:tc>
          <w:tcPr>
            <w:tcW w:w="5954" w:type="dxa"/>
            <w:shd w:val="clear" w:color="auto" w:fill="auto"/>
            <w:vAlign w:val="center"/>
          </w:tcPr>
          <w:p w14:paraId="21388C21"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Naujų profesinių įgūdžių įgijimas.</w:t>
            </w:r>
          </w:p>
        </w:tc>
      </w:tr>
      <w:tr w:rsidR="00D84F99" w:rsidRPr="000F5242" w14:paraId="4DCF6D9A" w14:textId="77777777" w:rsidTr="00D84F99">
        <w:tc>
          <w:tcPr>
            <w:tcW w:w="1134" w:type="dxa"/>
            <w:vMerge/>
            <w:shd w:val="clear" w:color="auto" w:fill="auto"/>
          </w:tcPr>
          <w:p w14:paraId="5AF7DF2C" w14:textId="77777777" w:rsidR="00D84F99" w:rsidRPr="00D84F99" w:rsidRDefault="00D84F99" w:rsidP="00D84F99">
            <w:pPr>
              <w:rPr>
                <w:rFonts w:ascii="Times New Roman" w:hAnsi="Times New Roman" w:cs="Times New Roman"/>
                <w:lang w:val="lt-LT"/>
              </w:rPr>
            </w:pPr>
          </w:p>
        </w:tc>
        <w:tc>
          <w:tcPr>
            <w:tcW w:w="1276" w:type="dxa"/>
            <w:vMerge/>
            <w:shd w:val="clear" w:color="auto" w:fill="auto"/>
          </w:tcPr>
          <w:p w14:paraId="72398741" w14:textId="77777777" w:rsidR="00D84F99" w:rsidRPr="00D84F99" w:rsidRDefault="00D84F99" w:rsidP="00D84F99">
            <w:pPr>
              <w:rPr>
                <w:rFonts w:ascii="Times New Roman" w:hAnsi="Times New Roman" w:cs="Times New Roman"/>
                <w:lang w:val="lt-LT"/>
              </w:rPr>
            </w:pPr>
          </w:p>
        </w:tc>
        <w:tc>
          <w:tcPr>
            <w:tcW w:w="1701" w:type="dxa"/>
            <w:shd w:val="clear" w:color="auto" w:fill="auto"/>
          </w:tcPr>
          <w:p w14:paraId="2406B483"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1.2.2. veiksmas.</w:t>
            </w:r>
          </w:p>
        </w:tc>
        <w:tc>
          <w:tcPr>
            <w:tcW w:w="5954" w:type="dxa"/>
            <w:shd w:val="clear" w:color="auto" w:fill="auto"/>
            <w:vAlign w:val="center"/>
          </w:tcPr>
          <w:p w14:paraId="3047CEA5"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Neaktyvių asmenų įtraukimas į aktyvią profesinę, švietimo ar savanorišką veiklą.</w:t>
            </w:r>
          </w:p>
        </w:tc>
      </w:tr>
      <w:tr w:rsidR="00D84F99" w:rsidRPr="000F5242" w14:paraId="1DEA86DA" w14:textId="77777777" w:rsidTr="00D84F99">
        <w:tc>
          <w:tcPr>
            <w:tcW w:w="1134" w:type="dxa"/>
            <w:vMerge w:val="restart"/>
            <w:shd w:val="clear" w:color="auto" w:fill="auto"/>
          </w:tcPr>
          <w:p w14:paraId="29AC88BC" w14:textId="77777777" w:rsidR="00D84F99" w:rsidRPr="00D84F99" w:rsidRDefault="00D84F99" w:rsidP="00D84F99">
            <w:pPr>
              <w:ind w:right="-108"/>
              <w:rPr>
                <w:rFonts w:ascii="Times New Roman" w:hAnsi="Times New Roman" w:cs="Times New Roman"/>
                <w:b/>
                <w:lang w:val="lt-LT"/>
              </w:rPr>
            </w:pPr>
            <w:r w:rsidRPr="00D84F99">
              <w:rPr>
                <w:rFonts w:ascii="Times New Roman" w:hAnsi="Times New Roman" w:cs="Times New Roman"/>
                <w:b/>
                <w:lang w:val="lt-LT"/>
              </w:rPr>
              <w:t>2. Tikslas</w:t>
            </w:r>
          </w:p>
        </w:tc>
        <w:tc>
          <w:tcPr>
            <w:tcW w:w="8931" w:type="dxa"/>
            <w:gridSpan w:val="3"/>
            <w:shd w:val="clear" w:color="auto" w:fill="auto"/>
          </w:tcPr>
          <w:p w14:paraId="5B065B54" w14:textId="77777777" w:rsidR="00D84F99" w:rsidRPr="00D84F99" w:rsidRDefault="00D84F99" w:rsidP="00D84F99">
            <w:pPr>
              <w:rPr>
                <w:rFonts w:ascii="Times New Roman" w:hAnsi="Times New Roman" w:cs="Times New Roman"/>
                <w:b/>
                <w:lang w:val="lt-LT"/>
              </w:rPr>
            </w:pPr>
            <w:r w:rsidRPr="00D84F99">
              <w:rPr>
                <w:rFonts w:ascii="Times New Roman" w:hAnsi="Times New Roman" w:cs="Times New Roman"/>
                <w:b/>
                <w:lang w:val="lt-LT"/>
              </w:rPr>
              <w:t>Prisidėti prie socialinės atskirties Anykščių mieste mažinimo skatinant socialinių paslaugų plėtrą ir gyventojų bendruomeniškumą</w:t>
            </w:r>
          </w:p>
        </w:tc>
      </w:tr>
      <w:tr w:rsidR="00D84F99" w:rsidRPr="000F5242" w14:paraId="1DB805E5" w14:textId="77777777" w:rsidTr="00D84F99">
        <w:tc>
          <w:tcPr>
            <w:tcW w:w="1134" w:type="dxa"/>
            <w:vMerge/>
            <w:shd w:val="clear" w:color="auto" w:fill="auto"/>
          </w:tcPr>
          <w:p w14:paraId="49440ACC" w14:textId="77777777" w:rsidR="00D84F99" w:rsidRPr="00D84F99" w:rsidRDefault="00D84F99" w:rsidP="00D84F99">
            <w:pPr>
              <w:rPr>
                <w:rFonts w:ascii="Times New Roman" w:hAnsi="Times New Roman" w:cs="Times New Roman"/>
                <w:lang w:val="lt-LT"/>
              </w:rPr>
            </w:pPr>
          </w:p>
        </w:tc>
        <w:tc>
          <w:tcPr>
            <w:tcW w:w="1276" w:type="dxa"/>
            <w:vMerge w:val="restart"/>
            <w:shd w:val="clear" w:color="auto" w:fill="auto"/>
          </w:tcPr>
          <w:p w14:paraId="525F1763" w14:textId="77777777" w:rsidR="00D84F99" w:rsidRPr="00D84F99" w:rsidRDefault="00D84F99" w:rsidP="00D84F99">
            <w:pPr>
              <w:ind w:right="-108"/>
              <w:rPr>
                <w:rFonts w:ascii="Times New Roman" w:hAnsi="Times New Roman" w:cs="Times New Roman"/>
                <w:lang w:val="lt-LT"/>
              </w:rPr>
            </w:pPr>
            <w:r w:rsidRPr="00D84F99">
              <w:rPr>
                <w:rFonts w:ascii="Times New Roman" w:hAnsi="Times New Roman" w:cs="Times New Roman"/>
                <w:lang w:val="lt-LT"/>
              </w:rPr>
              <w:t>2.1. Uždavinys</w:t>
            </w:r>
          </w:p>
        </w:tc>
        <w:tc>
          <w:tcPr>
            <w:tcW w:w="7655" w:type="dxa"/>
            <w:gridSpan w:val="2"/>
            <w:shd w:val="clear" w:color="auto" w:fill="auto"/>
          </w:tcPr>
          <w:p w14:paraId="251124A8"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Užtikrinti socialinių paslaugų prieinamumą ir atitikimą gyventojų poreikiams Anykščių mieste</w:t>
            </w:r>
          </w:p>
        </w:tc>
      </w:tr>
      <w:tr w:rsidR="00D84F99" w:rsidRPr="000F5242" w14:paraId="47416BA6" w14:textId="77777777" w:rsidTr="00D84F99">
        <w:tc>
          <w:tcPr>
            <w:tcW w:w="1134" w:type="dxa"/>
            <w:vMerge/>
            <w:shd w:val="clear" w:color="auto" w:fill="auto"/>
          </w:tcPr>
          <w:p w14:paraId="37C6D2E5" w14:textId="77777777" w:rsidR="00D84F99" w:rsidRPr="00D84F99" w:rsidRDefault="00D84F99" w:rsidP="00D84F99">
            <w:pPr>
              <w:rPr>
                <w:rFonts w:ascii="Times New Roman" w:hAnsi="Times New Roman" w:cs="Times New Roman"/>
                <w:lang w:val="lt-LT"/>
              </w:rPr>
            </w:pPr>
          </w:p>
        </w:tc>
        <w:tc>
          <w:tcPr>
            <w:tcW w:w="1276" w:type="dxa"/>
            <w:vMerge/>
            <w:shd w:val="clear" w:color="auto" w:fill="auto"/>
          </w:tcPr>
          <w:p w14:paraId="61957794" w14:textId="77777777" w:rsidR="00D84F99" w:rsidRPr="00D84F99" w:rsidRDefault="00D84F99" w:rsidP="00D84F99">
            <w:pPr>
              <w:rPr>
                <w:rFonts w:ascii="Times New Roman" w:hAnsi="Times New Roman" w:cs="Times New Roman"/>
                <w:lang w:val="lt-LT"/>
              </w:rPr>
            </w:pPr>
          </w:p>
        </w:tc>
        <w:tc>
          <w:tcPr>
            <w:tcW w:w="1701" w:type="dxa"/>
            <w:shd w:val="clear" w:color="auto" w:fill="auto"/>
          </w:tcPr>
          <w:p w14:paraId="3E19412E"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2.1.1. veiksmas.</w:t>
            </w:r>
          </w:p>
        </w:tc>
        <w:tc>
          <w:tcPr>
            <w:tcW w:w="5954" w:type="dxa"/>
            <w:shd w:val="clear" w:color="auto" w:fill="auto"/>
            <w:vAlign w:val="center"/>
          </w:tcPr>
          <w:p w14:paraId="69E6686F"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Esamų socialinių paslaugų kokybės užtikrinimas ir naujų gyventojų poreikius atitinkančių socialinių paslaugų plėtra</w:t>
            </w:r>
          </w:p>
        </w:tc>
      </w:tr>
      <w:tr w:rsidR="00D84F99" w:rsidRPr="000F5242" w14:paraId="4BE6A395" w14:textId="77777777" w:rsidTr="00D84F99">
        <w:tc>
          <w:tcPr>
            <w:tcW w:w="1134" w:type="dxa"/>
            <w:vMerge/>
            <w:shd w:val="clear" w:color="auto" w:fill="auto"/>
          </w:tcPr>
          <w:p w14:paraId="33CBACC7" w14:textId="77777777" w:rsidR="00D84F99" w:rsidRPr="00D84F99" w:rsidRDefault="00D84F99" w:rsidP="00D84F99">
            <w:pPr>
              <w:rPr>
                <w:rFonts w:ascii="Times New Roman" w:hAnsi="Times New Roman" w:cs="Times New Roman"/>
                <w:lang w:val="lt-LT"/>
              </w:rPr>
            </w:pPr>
          </w:p>
        </w:tc>
        <w:tc>
          <w:tcPr>
            <w:tcW w:w="1276" w:type="dxa"/>
            <w:vMerge/>
            <w:shd w:val="clear" w:color="auto" w:fill="auto"/>
          </w:tcPr>
          <w:p w14:paraId="27B0103B" w14:textId="77777777" w:rsidR="00D84F99" w:rsidRPr="00D84F99" w:rsidRDefault="00D84F99" w:rsidP="00D84F99">
            <w:pPr>
              <w:rPr>
                <w:rFonts w:ascii="Times New Roman" w:hAnsi="Times New Roman" w:cs="Times New Roman"/>
                <w:lang w:val="lt-LT"/>
              </w:rPr>
            </w:pPr>
          </w:p>
        </w:tc>
        <w:tc>
          <w:tcPr>
            <w:tcW w:w="1701" w:type="dxa"/>
            <w:shd w:val="clear" w:color="auto" w:fill="auto"/>
          </w:tcPr>
          <w:p w14:paraId="286B7B48"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2.1.2. veiksmas</w:t>
            </w:r>
          </w:p>
        </w:tc>
        <w:tc>
          <w:tcPr>
            <w:tcW w:w="5954" w:type="dxa"/>
            <w:shd w:val="clear" w:color="auto" w:fill="auto"/>
            <w:vAlign w:val="center"/>
          </w:tcPr>
          <w:p w14:paraId="3E653673"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Efektyvaus gyventojų informavimo apie Anykščių rajone teikiamas socialines ir kitas paslaugas užtikrinimas</w:t>
            </w:r>
          </w:p>
        </w:tc>
      </w:tr>
      <w:tr w:rsidR="00D84F99" w:rsidRPr="000F5242" w14:paraId="3BC0584D" w14:textId="77777777" w:rsidTr="00D84F99">
        <w:tc>
          <w:tcPr>
            <w:tcW w:w="1134" w:type="dxa"/>
            <w:vMerge/>
            <w:shd w:val="clear" w:color="auto" w:fill="auto"/>
          </w:tcPr>
          <w:p w14:paraId="6A1E61BE" w14:textId="77777777" w:rsidR="00D84F99" w:rsidRPr="00D84F99" w:rsidRDefault="00D84F99" w:rsidP="00D84F99">
            <w:pPr>
              <w:rPr>
                <w:rFonts w:ascii="Times New Roman" w:hAnsi="Times New Roman" w:cs="Times New Roman"/>
                <w:lang w:val="lt-LT"/>
              </w:rPr>
            </w:pPr>
          </w:p>
        </w:tc>
        <w:tc>
          <w:tcPr>
            <w:tcW w:w="1276" w:type="dxa"/>
            <w:vMerge/>
            <w:shd w:val="clear" w:color="auto" w:fill="auto"/>
          </w:tcPr>
          <w:p w14:paraId="2A98B554" w14:textId="77777777" w:rsidR="00D84F99" w:rsidRPr="00D84F99" w:rsidRDefault="00D84F99" w:rsidP="00D84F99">
            <w:pPr>
              <w:rPr>
                <w:rFonts w:ascii="Times New Roman" w:hAnsi="Times New Roman" w:cs="Times New Roman"/>
                <w:lang w:val="lt-LT"/>
              </w:rPr>
            </w:pPr>
          </w:p>
        </w:tc>
        <w:tc>
          <w:tcPr>
            <w:tcW w:w="1701" w:type="dxa"/>
            <w:shd w:val="clear" w:color="auto" w:fill="auto"/>
          </w:tcPr>
          <w:p w14:paraId="3F71224B" w14:textId="77777777" w:rsidR="00D84F99" w:rsidRPr="00D84F99" w:rsidRDefault="00D84F99" w:rsidP="00D84F99">
            <w:pPr>
              <w:rPr>
                <w:rFonts w:ascii="Times New Roman" w:hAnsi="Times New Roman" w:cs="Times New Roman"/>
                <w:lang w:val="lt-LT"/>
              </w:rPr>
            </w:pPr>
            <w:r w:rsidRPr="00D84F99">
              <w:rPr>
                <w:rFonts w:ascii="Times New Roman" w:hAnsi="Times New Roman" w:cs="Times New Roman"/>
                <w:lang w:val="lt-LT"/>
              </w:rPr>
              <w:t>2.1.3. veiksmas</w:t>
            </w:r>
          </w:p>
        </w:tc>
        <w:tc>
          <w:tcPr>
            <w:tcW w:w="5954" w:type="dxa"/>
            <w:shd w:val="clear" w:color="auto" w:fill="auto"/>
            <w:vAlign w:val="center"/>
          </w:tcPr>
          <w:p w14:paraId="723D7BB9" w14:textId="77777777" w:rsidR="00D84F99" w:rsidRPr="00D84F99" w:rsidRDefault="00D84F99" w:rsidP="00E57B03">
            <w:pPr>
              <w:rPr>
                <w:rFonts w:ascii="Times New Roman" w:hAnsi="Times New Roman" w:cs="Times New Roman"/>
                <w:lang w:val="lt-LT"/>
              </w:rPr>
            </w:pPr>
            <w:r w:rsidRPr="00D84F99">
              <w:rPr>
                <w:rFonts w:ascii="Times New Roman" w:hAnsi="Times New Roman" w:cs="Times New Roman"/>
                <w:lang w:val="lt-LT"/>
              </w:rPr>
              <w:t>Priemonių skirtų pabėgėlių integracijai įgyvendinimas</w:t>
            </w:r>
          </w:p>
        </w:tc>
      </w:tr>
    </w:tbl>
    <w:p w14:paraId="4B8625F7" w14:textId="77CCCCB3" w:rsidR="00D84F99" w:rsidRDefault="00D84F99" w:rsidP="00D84F99">
      <w:pPr>
        <w:pStyle w:val="Default"/>
        <w:numPr>
          <w:ilvl w:val="0"/>
          <w:numId w:val="7"/>
        </w:numPr>
        <w:spacing w:before="120" w:after="120"/>
        <w:jc w:val="both"/>
        <w:rPr>
          <w:lang w:bidi="en-US"/>
        </w:rPr>
      </w:pPr>
      <w:r>
        <w:rPr>
          <w:lang w:bidi="en-US"/>
        </w:rPr>
        <w:t>Kiekvienam Strategijos veiksmui planuojamas ne mažiau kaip vienas kvietimas teikti Projektinius pasiūlymus.</w:t>
      </w:r>
    </w:p>
    <w:p w14:paraId="5BA6454B" w14:textId="57DD5654" w:rsidR="00800B70" w:rsidRDefault="00800B70" w:rsidP="0068654A">
      <w:pPr>
        <w:pStyle w:val="ListParagraph"/>
        <w:numPr>
          <w:ilvl w:val="0"/>
          <w:numId w:val="7"/>
        </w:numPr>
        <w:jc w:val="both"/>
        <w:rPr>
          <w:rFonts w:ascii="Times New Roman" w:hAnsi="Times New Roman" w:cs="Times New Roman"/>
          <w:color w:val="000000"/>
          <w:sz w:val="24"/>
          <w:szCs w:val="24"/>
          <w:lang w:bidi="en-US"/>
        </w:rPr>
      </w:pPr>
      <w:r w:rsidRPr="00800B70">
        <w:rPr>
          <w:rFonts w:ascii="Times New Roman" w:hAnsi="Times New Roman" w:cs="Times New Roman"/>
          <w:color w:val="000000"/>
          <w:sz w:val="24"/>
          <w:szCs w:val="24"/>
          <w:lang w:bidi="en-US"/>
        </w:rPr>
        <w:lastRenderedPageBreak/>
        <w:t>Anykščių miesto VVG, siekdama užtikrinti sklandų bei tinkamą Strategijos įgyvendinimą, sudaro Strategijos įgyvendinimo veiksmų grafiką (</w:t>
      </w:r>
      <w:r w:rsidRPr="009C202C">
        <w:rPr>
          <w:rFonts w:ascii="Times New Roman" w:hAnsi="Times New Roman" w:cs="Times New Roman"/>
          <w:color w:val="000000"/>
          <w:sz w:val="24"/>
          <w:szCs w:val="24"/>
          <w:lang w:bidi="en-US"/>
        </w:rPr>
        <w:t>11 priedas „Strategij</w:t>
      </w:r>
      <w:r w:rsidR="009C202C" w:rsidRPr="009C202C">
        <w:rPr>
          <w:rFonts w:ascii="Times New Roman" w:hAnsi="Times New Roman" w:cs="Times New Roman"/>
          <w:color w:val="000000"/>
          <w:sz w:val="24"/>
          <w:szCs w:val="24"/>
          <w:lang w:bidi="en-US"/>
        </w:rPr>
        <w:t>os įgyvendinimo veiksmų grafiko forma</w:t>
      </w:r>
      <w:r w:rsidRPr="009C202C">
        <w:rPr>
          <w:rFonts w:ascii="Times New Roman" w:hAnsi="Times New Roman" w:cs="Times New Roman"/>
          <w:color w:val="000000"/>
          <w:sz w:val="24"/>
          <w:szCs w:val="24"/>
          <w:lang w:bidi="en-US"/>
        </w:rPr>
        <w:t>“</w:t>
      </w:r>
      <w:r w:rsidRPr="00800B70">
        <w:rPr>
          <w:rFonts w:ascii="Times New Roman" w:hAnsi="Times New Roman" w:cs="Times New Roman"/>
          <w:color w:val="000000"/>
          <w:sz w:val="24"/>
          <w:szCs w:val="24"/>
          <w:lang w:bidi="en-US"/>
        </w:rPr>
        <w:t>) bei nustato už atskirų procedūrų įgyvendinimą atsakingus asmenis.</w:t>
      </w:r>
      <w:r w:rsidR="0068654A">
        <w:rPr>
          <w:rFonts w:ascii="Times New Roman" w:hAnsi="Times New Roman" w:cs="Times New Roman"/>
          <w:color w:val="000000"/>
          <w:sz w:val="24"/>
          <w:szCs w:val="24"/>
          <w:lang w:bidi="en-US"/>
        </w:rPr>
        <w:t xml:space="preserve"> S</w:t>
      </w:r>
      <w:r w:rsidR="0068654A" w:rsidRPr="0068654A">
        <w:rPr>
          <w:rFonts w:ascii="Times New Roman" w:hAnsi="Times New Roman" w:cs="Times New Roman"/>
          <w:color w:val="000000"/>
          <w:sz w:val="24"/>
          <w:szCs w:val="24"/>
          <w:lang w:bidi="en-US"/>
        </w:rPr>
        <w:t xml:space="preserve">trategijos įgyvendinimo organizacinė struktūra </w:t>
      </w:r>
      <w:r w:rsidR="00E305D9">
        <w:rPr>
          <w:rFonts w:ascii="Times New Roman" w:hAnsi="Times New Roman" w:cs="Times New Roman"/>
          <w:color w:val="000000"/>
          <w:sz w:val="24"/>
          <w:szCs w:val="24"/>
          <w:lang w:bidi="en-US"/>
        </w:rPr>
        <w:t>(toliau - O</w:t>
      </w:r>
      <w:r w:rsidR="00E305D9" w:rsidRPr="0068654A">
        <w:rPr>
          <w:rFonts w:ascii="Times New Roman" w:hAnsi="Times New Roman" w:cs="Times New Roman"/>
          <w:color w:val="000000"/>
          <w:sz w:val="24"/>
          <w:szCs w:val="24"/>
          <w:lang w:bidi="en-US"/>
        </w:rPr>
        <w:t>rganizacinė struktūra</w:t>
      </w:r>
      <w:r w:rsidR="00E305D9">
        <w:rPr>
          <w:rFonts w:ascii="Times New Roman" w:hAnsi="Times New Roman" w:cs="Times New Roman"/>
          <w:color w:val="000000"/>
          <w:sz w:val="24"/>
          <w:szCs w:val="24"/>
          <w:lang w:bidi="en-US"/>
        </w:rPr>
        <w:t>)</w:t>
      </w:r>
      <w:r w:rsidR="00E305D9" w:rsidRPr="0068654A">
        <w:rPr>
          <w:rFonts w:ascii="Times New Roman" w:hAnsi="Times New Roman" w:cs="Times New Roman"/>
          <w:color w:val="000000"/>
          <w:sz w:val="24"/>
          <w:szCs w:val="24"/>
          <w:lang w:bidi="en-US"/>
        </w:rPr>
        <w:t xml:space="preserve"> </w:t>
      </w:r>
      <w:r w:rsidR="0068654A" w:rsidRPr="0068654A">
        <w:rPr>
          <w:rFonts w:ascii="Times New Roman" w:hAnsi="Times New Roman" w:cs="Times New Roman"/>
          <w:color w:val="000000"/>
          <w:sz w:val="24"/>
          <w:szCs w:val="24"/>
          <w:lang w:bidi="en-US"/>
        </w:rPr>
        <w:t>pateikta žemiau esančiame paveiksle.</w:t>
      </w:r>
    </w:p>
    <w:p w14:paraId="3B8D3352" w14:textId="26539012" w:rsidR="00AE1E8E" w:rsidRDefault="00AE1E8E" w:rsidP="00C5054D">
      <w:pPr>
        <w:pStyle w:val="ListParagraph"/>
        <w:jc w:val="both"/>
        <w:rPr>
          <w:rFonts w:ascii="Times New Roman" w:hAnsi="Times New Roman" w:cs="Times New Roman"/>
          <w:color w:val="000000"/>
          <w:sz w:val="24"/>
          <w:szCs w:val="24"/>
          <w:lang w:bidi="en-US"/>
        </w:rPr>
      </w:pPr>
      <w:r>
        <w:rPr>
          <w:noProof/>
          <w:lang w:eastAsia="lt-LT"/>
        </w:rPr>
        <w:drawing>
          <wp:inline distT="0" distB="0" distL="0" distR="0" wp14:anchorId="6ECAB723" wp14:editId="17446C43">
            <wp:extent cx="6196965" cy="4195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6965" cy="4195445"/>
                    </a:xfrm>
                    <a:prstGeom prst="rect">
                      <a:avLst/>
                    </a:prstGeom>
                  </pic:spPr>
                </pic:pic>
              </a:graphicData>
            </a:graphic>
          </wp:inline>
        </w:drawing>
      </w:r>
    </w:p>
    <w:p w14:paraId="4E657874" w14:textId="36FA0C66" w:rsidR="00B51C7A" w:rsidRDefault="00B51C7A" w:rsidP="00C5054D">
      <w:pPr>
        <w:pStyle w:val="ListParagraph"/>
        <w:jc w:val="both"/>
        <w:rPr>
          <w:rFonts w:ascii="Times New Roman" w:hAnsi="Times New Roman" w:cs="Times New Roman"/>
          <w:color w:val="000000"/>
          <w:sz w:val="24"/>
          <w:szCs w:val="24"/>
          <w:lang w:bidi="en-US"/>
        </w:rPr>
      </w:pPr>
    </w:p>
    <w:p w14:paraId="53B3E582" w14:textId="1AAAA97A" w:rsidR="0068654A" w:rsidRDefault="0068654A" w:rsidP="0068654A">
      <w:pPr>
        <w:pStyle w:val="Caption"/>
        <w:ind w:left="720"/>
        <w:jc w:val="center"/>
        <w:rPr>
          <w:rFonts w:ascii="Times New Roman" w:hAnsi="Times New Roman" w:cs="Times New Roman"/>
          <w:color w:val="auto"/>
          <w:sz w:val="22"/>
          <w:szCs w:val="22"/>
          <w:lang w:val="lt-LT"/>
        </w:rPr>
      </w:pPr>
      <w:r w:rsidRPr="006A6899">
        <w:rPr>
          <w:rFonts w:ascii="Times New Roman" w:hAnsi="Times New Roman" w:cs="Times New Roman"/>
          <w:color w:val="auto"/>
          <w:sz w:val="22"/>
          <w:szCs w:val="22"/>
          <w:lang w:val="lt-LT"/>
        </w:rPr>
        <w:t xml:space="preserve">Pav. </w:t>
      </w:r>
      <w:r w:rsidRPr="006A6899">
        <w:rPr>
          <w:rFonts w:ascii="Times New Roman" w:hAnsi="Times New Roman" w:cs="Times New Roman"/>
          <w:color w:val="auto"/>
          <w:sz w:val="22"/>
          <w:szCs w:val="22"/>
          <w:lang w:val="lt-LT"/>
        </w:rPr>
        <w:fldChar w:fldCharType="begin"/>
      </w:r>
      <w:r w:rsidRPr="006A6899">
        <w:rPr>
          <w:rFonts w:ascii="Times New Roman" w:hAnsi="Times New Roman" w:cs="Times New Roman"/>
          <w:color w:val="auto"/>
          <w:sz w:val="22"/>
          <w:szCs w:val="22"/>
          <w:lang w:val="lt-LT"/>
        </w:rPr>
        <w:instrText xml:space="preserve"> SEQ Pav. \* ARABIC </w:instrText>
      </w:r>
      <w:r w:rsidRPr="006A6899">
        <w:rPr>
          <w:rFonts w:ascii="Times New Roman" w:hAnsi="Times New Roman" w:cs="Times New Roman"/>
          <w:color w:val="auto"/>
          <w:sz w:val="22"/>
          <w:szCs w:val="22"/>
          <w:lang w:val="lt-LT"/>
        </w:rPr>
        <w:fldChar w:fldCharType="separate"/>
      </w:r>
      <w:r w:rsidR="007D6C65">
        <w:rPr>
          <w:rFonts w:ascii="Times New Roman" w:hAnsi="Times New Roman" w:cs="Times New Roman"/>
          <w:noProof/>
          <w:color w:val="auto"/>
          <w:sz w:val="22"/>
          <w:szCs w:val="22"/>
          <w:lang w:val="lt-LT"/>
        </w:rPr>
        <w:t>2</w:t>
      </w:r>
      <w:r w:rsidRPr="006A6899">
        <w:rPr>
          <w:rFonts w:ascii="Times New Roman" w:hAnsi="Times New Roman" w:cs="Times New Roman"/>
          <w:noProof/>
          <w:color w:val="auto"/>
          <w:sz w:val="22"/>
          <w:szCs w:val="22"/>
          <w:lang w:val="lt-LT"/>
        </w:rPr>
        <w:fldChar w:fldCharType="end"/>
      </w:r>
      <w:r>
        <w:rPr>
          <w:rFonts w:ascii="Times New Roman" w:hAnsi="Times New Roman" w:cs="Times New Roman"/>
          <w:color w:val="auto"/>
          <w:sz w:val="22"/>
          <w:szCs w:val="22"/>
          <w:lang w:val="lt-LT"/>
        </w:rPr>
        <w:t>.</w:t>
      </w:r>
      <w:r w:rsidRPr="0068654A">
        <w:rPr>
          <w:rFonts w:ascii="Times New Roman" w:hAnsi="Times New Roman" w:cs="Times New Roman"/>
          <w:lang w:val="lt-LT"/>
        </w:rPr>
        <w:t xml:space="preserve"> </w:t>
      </w:r>
      <w:r w:rsidRPr="0068654A">
        <w:rPr>
          <w:rFonts w:ascii="Times New Roman" w:hAnsi="Times New Roman" w:cs="Times New Roman"/>
          <w:color w:val="auto"/>
          <w:sz w:val="22"/>
          <w:szCs w:val="22"/>
          <w:lang w:val="lt-LT"/>
        </w:rPr>
        <w:t>Organizacinė struktūra</w:t>
      </w:r>
    </w:p>
    <w:p w14:paraId="0DA0704C" w14:textId="0419FDBC" w:rsidR="00FF5887" w:rsidRPr="00FF5887" w:rsidRDefault="00FF5887" w:rsidP="00FF5887">
      <w:pPr>
        <w:rPr>
          <w:lang w:val="lt-LT"/>
        </w:rPr>
      </w:pPr>
    </w:p>
    <w:p w14:paraId="75EE6256" w14:textId="18C636F9" w:rsidR="00800B70" w:rsidRDefault="00902101" w:rsidP="00E305D9">
      <w:pPr>
        <w:pStyle w:val="Default"/>
        <w:numPr>
          <w:ilvl w:val="0"/>
          <w:numId w:val="7"/>
        </w:numPr>
        <w:spacing w:before="120" w:after="120"/>
        <w:jc w:val="both"/>
        <w:rPr>
          <w:lang w:bidi="en-US"/>
        </w:rPr>
      </w:pPr>
      <w:r>
        <w:rPr>
          <w:lang w:bidi="en-US"/>
        </w:rPr>
        <w:t>Atsakomybės ir funkcijos paaiškintos</w:t>
      </w:r>
      <w:r w:rsidR="00E305D9" w:rsidRPr="00E305D9">
        <w:rPr>
          <w:lang w:bidi="en-US"/>
        </w:rPr>
        <w:t xml:space="preserve"> žemiau esančioje lentelėje</w:t>
      </w:r>
      <w:r w:rsidR="00C441EE">
        <w:rPr>
          <w:lang w:bidi="en-US"/>
        </w:rPr>
        <w:t>:</w:t>
      </w:r>
    </w:p>
    <w:tbl>
      <w:tblPr>
        <w:tblW w:w="9889"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8080"/>
      </w:tblGrid>
      <w:tr w:rsidR="00D31A5E" w:rsidRPr="00D31A5E" w14:paraId="1F391818" w14:textId="77777777" w:rsidTr="00F24DDD">
        <w:tc>
          <w:tcPr>
            <w:tcW w:w="1809" w:type="dxa"/>
            <w:shd w:val="clear" w:color="auto" w:fill="F2F2F2" w:themeFill="background1" w:themeFillShade="F2"/>
          </w:tcPr>
          <w:p w14:paraId="47F1917B" w14:textId="6C5E102E" w:rsidR="00D31A5E" w:rsidRPr="00D31A5E" w:rsidRDefault="00D31A5E" w:rsidP="00F24DDD">
            <w:pPr>
              <w:spacing w:before="120" w:after="120" w:line="240" w:lineRule="auto"/>
              <w:rPr>
                <w:rFonts w:ascii="Times New Roman" w:eastAsia="Times New Roman" w:hAnsi="Times New Roman" w:cs="Times New Roman"/>
                <w:b/>
                <w:lang w:val="lt-LT"/>
              </w:rPr>
            </w:pPr>
            <w:r w:rsidRPr="00D31A5E">
              <w:rPr>
                <w:rFonts w:ascii="Times New Roman" w:eastAsia="Times New Roman" w:hAnsi="Times New Roman" w:cs="Times New Roman"/>
                <w:b/>
                <w:lang w:val="lt-LT"/>
              </w:rPr>
              <w:t>Pavadinimas</w:t>
            </w:r>
          </w:p>
        </w:tc>
        <w:tc>
          <w:tcPr>
            <w:tcW w:w="8080" w:type="dxa"/>
            <w:shd w:val="clear" w:color="auto" w:fill="F2F2F2" w:themeFill="background1" w:themeFillShade="F2"/>
          </w:tcPr>
          <w:p w14:paraId="1966FE5E" w14:textId="3F3C4F8E" w:rsidR="00D31A5E" w:rsidRPr="00D31A5E" w:rsidRDefault="00902101" w:rsidP="00F24DDD">
            <w:pPr>
              <w:spacing w:before="120" w:after="120" w:line="240" w:lineRule="auto"/>
              <w:rPr>
                <w:rFonts w:ascii="Times New Roman" w:eastAsia="Times New Roman" w:hAnsi="Times New Roman" w:cs="Times New Roman"/>
                <w:b/>
                <w:lang w:val="lt-LT"/>
              </w:rPr>
            </w:pPr>
            <w:r w:rsidRPr="00902101">
              <w:rPr>
                <w:rFonts w:ascii="Times New Roman" w:eastAsia="Times New Roman" w:hAnsi="Times New Roman" w:cs="Times New Roman"/>
                <w:b/>
                <w:lang w:val="lt-LT"/>
              </w:rPr>
              <w:t>Atsakomybės ir funkcijos</w:t>
            </w:r>
          </w:p>
        </w:tc>
      </w:tr>
      <w:tr w:rsidR="00C441EE" w:rsidRPr="00C441EE" w14:paraId="255FB75C" w14:textId="77777777" w:rsidTr="00D31A5E">
        <w:tc>
          <w:tcPr>
            <w:tcW w:w="1809" w:type="dxa"/>
            <w:shd w:val="clear" w:color="auto" w:fill="F2F2F2"/>
          </w:tcPr>
          <w:p w14:paraId="18342F37" w14:textId="77777777" w:rsidR="00C441EE" w:rsidRPr="00D31A5E" w:rsidRDefault="00C441EE" w:rsidP="00F24DDD">
            <w:pPr>
              <w:spacing w:before="120" w:after="120" w:line="240" w:lineRule="auto"/>
              <w:rPr>
                <w:rFonts w:ascii="Times New Roman" w:eastAsia="Times New Roman" w:hAnsi="Times New Roman" w:cs="Times New Roman"/>
                <w:lang w:val="lt-LT"/>
              </w:rPr>
            </w:pPr>
            <w:r w:rsidRPr="00D31A5E">
              <w:rPr>
                <w:rFonts w:ascii="Times New Roman" w:eastAsia="Times New Roman" w:hAnsi="Times New Roman" w:cs="Times New Roman"/>
                <w:lang w:val="lt-LT"/>
              </w:rPr>
              <w:t>Visuotinis narių susirinkimas</w:t>
            </w:r>
          </w:p>
        </w:tc>
        <w:tc>
          <w:tcPr>
            <w:tcW w:w="8080" w:type="dxa"/>
            <w:shd w:val="clear" w:color="auto" w:fill="auto"/>
          </w:tcPr>
          <w:p w14:paraId="1ECA2FD9" w14:textId="27141A72"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Vietos plėtros strategijos ir jos pakeitimų tvirtinimas;</w:t>
            </w:r>
          </w:p>
          <w:p w14:paraId="4D9A5D71" w14:textId="49473D36"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metinių vietos plėtros strategijos ataskaitų tvirtinimas;</w:t>
            </w:r>
          </w:p>
          <w:p w14:paraId="2503FF23" w14:textId="4D042A7E" w:rsidR="00C441E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galutinės vietos plėtros strategijos ataskaitos tvirtinimas.</w:t>
            </w:r>
          </w:p>
        </w:tc>
      </w:tr>
      <w:tr w:rsidR="00C441EE" w:rsidRPr="000F5242" w14:paraId="60EB4A04" w14:textId="77777777" w:rsidTr="00D31A5E">
        <w:tc>
          <w:tcPr>
            <w:tcW w:w="1809" w:type="dxa"/>
            <w:shd w:val="clear" w:color="auto" w:fill="F2F2F2"/>
          </w:tcPr>
          <w:p w14:paraId="640A0F80" w14:textId="77777777" w:rsidR="00C441EE" w:rsidRPr="00D31A5E" w:rsidRDefault="00C441EE" w:rsidP="00F24DDD">
            <w:pPr>
              <w:spacing w:before="120" w:after="120" w:line="240" w:lineRule="auto"/>
              <w:rPr>
                <w:rFonts w:ascii="Times New Roman" w:eastAsia="Times New Roman" w:hAnsi="Times New Roman" w:cs="Times New Roman"/>
                <w:lang w:val="lt-LT"/>
              </w:rPr>
            </w:pPr>
            <w:r w:rsidRPr="00D31A5E">
              <w:rPr>
                <w:rFonts w:ascii="Times New Roman" w:eastAsia="Times New Roman" w:hAnsi="Times New Roman" w:cs="Times New Roman"/>
                <w:lang w:val="lt-LT"/>
              </w:rPr>
              <w:t>Valdyba</w:t>
            </w:r>
          </w:p>
        </w:tc>
        <w:tc>
          <w:tcPr>
            <w:tcW w:w="8080" w:type="dxa"/>
            <w:shd w:val="clear" w:color="auto" w:fill="auto"/>
          </w:tcPr>
          <w:p w14:paraId="330CC10A"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vietos plėtros projektinių pasiūlymų atrankos kriterijų, jų balų ir vietos plėtros projektinių pasiūlymų vertinimo ir atrankos vidaus tvarkos aprašo tvirtinimas;</w:t>
            </w:r>
          </w:p>
          <w:p w14:paraId="0B56620F"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vietos plėtros projektų vertintojų sąrašo tvirtinimas;</w:t>
            </w:r>
          </w:p>
          <w:p w14:paraId="0BFC84E0"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vietos plėtros projektinių pasiūlymų vertinimo ataskaitų tvirtinimas;</w:t>
            </w:r>
          </w:p>
          <w:p w14:paraId="71822FAB"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lastRenderedPageBreak/>
              <w:t>siūlomų finansuoti ir rezervinio projektų sąrašo tvirtinimas (atsižvelgiant į vietos plėtros projektų vertintojų vertinimo ataskaitoje pateiktas vertinimo išvadas);</w:t>
            </w:r>
          </w:p>
          <w:p w14:paraId="2A6BB4B6"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stebėsenos ataskaitų svarstymas ir tvirtinimas;</w:t>
            </w:r>
          </w:p>
          <w:p w14:paraId="01007679"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rizikų, susijusių su vietos plėtros įgyvendinimu, valdymas;</w:t>
            </w:r>
          </w:p>
          <w:p w14:paraId="71017B7C" w14:textId="09CDB6F5" w:rsidR="00C441E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kitos, su vietos plėtros strategijos įgyvendinimu, susijusios funkcijos.</w:t>
            </w:r>
          </w:p>
        </w:tc>
      </w:tr>
      <w:tr w:rsidR="00D47B3C" w:rsidRPr="00C5054D" w14:paraId="0BC8E307" w14:textId="77777777" w:rsidTr="00D31A5E">
        <w:tc>
          <w:tcPr>
            <w:tcW w:w="1809" w:type="dxa"/>
            <w:shd w:val="clear" w:color="auto" w:fill="F2F2F2"/>
          </w:tcPr>
          <w:p w14:paraId="05B4C3AA" w14:textId="4FE3BDF8" w:rsidR="00D47B3C" w:rsidRPr="00D31A5E" w:rsidRDefault="00D47B3C" w:rsidP="00F24DDD">
            <w:pPr>
              <w:spacing w:before="120" w:after="120" w:line="240" w:lineRule="auto"/>
              <w:rPr>
                <w:rFonts w:ascii="Times New Roman" w:eastAsia="Times New Roman" w:hAnsi="Times New Roman" w:cs="Times New Roman"/>
                <w:lang w:val="lt-LT"/>
              </w:rPr>
            </w:pPr>
            <w:r>
              <w:rPr>
                <w:rFonts w:ascii="Times New Roman" w:eastAsia="Times New Roman" w:hAnsi="Times New Roman" w:cs="Times New Roman"/>
                <w:lang w:val="lt-LT"/>
              </w:rPr>
              <w:lastRenderedPageBreak/>
              <w:t>Pirmininkas</w:t>
            </w:r>
          </w:p>
        </w:tc>
        <w:tc>
          <w:tcPr>
            <w:tcW w:w="8080" w:type="dxa"/>
            <w:shd w:val="clear" w:color="auto" w:fill="auto"/>
          </w:tcPr>
          <w:p w14:paraId="2F2BCAA0" w14:textId="169ECF46" w:rsidR="0043377C" w:rsidRDefault="0043377C" w:rsidP="0043377C">
            <w:pPr>
              <w:pStyle w:val="ListParagraph"/>
              <w:numPr>
                <w:ilvl w:val="0"/>
                <w:numId w:val="35"/>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v</w:t>
            </w:r>
            <w:r w:rsidRPr="0043377C">
              <w:rPr>
                <w:rFonts w:ascii="Times New Roman" w:eastAsia="Times New Roman" w:hAnsi="Times New Roman" w:cs="Times New Roman"/>
              </w:rPr>
              <w:t xml:space="preserve">adovauja </w:t>
            </w:r>
            <w:r>
              <w:rPr>
                <w:rFonts w:ascii="Times New Roman" w:eastAsia="Times New Roman" w:hAnsi="Times New Roman" w:cs="Times New Roman"/>
              </w:rPr>
              <w:t>Anykščių miesto VVG;</w:t>
            </w:r>
          </w:p>
          <w:p w14:paraId="3A2CE946" w14:textId="77777777" w:rsidR="0043377C" w:rsidRDefault="0043377C" w:rsidP="0043377C">
            <w:pPr>
              <w:pStyle w:val="ListParagraph"/>
              <w:numPr>
                <w:ilvl w:val="0"/>
                <w:numId w:val="35"/>
              </w:numPr>
              <w:spacing w:before="120" w:after="120" w:line="240" w:lineRule="auto"/>
              <w:rPr>
                <w:rFonts w:ascii="Times New Roman" w:eastAsia="Times New Roman" w:hAnsi="Times New Roman" w:cs="Times New Roman"/>
              </w:rPr>
            </w:pPr>
            <w:r w:rsidRPr="0043377C">
              <w:rPr>
                <w:rFonts w:ascii="Times New Roman" w:eastAsia="Times New Roman" w:hAnsi="Times New Roman" w:cs="Times New Roman"/>
              </w:rPr>
              <w:t xml:space="preserve">organizuoja </w:t>
            </w:r>
            <w:r>
              <w:rPr>
                <w:rFonts w:ascii="Times New Roman" w:eastAsia="Times New Roman" w:hAnsi="Times New Roman" w:cs="Times New Roman"/>
              </w:rPr>
              <w:t>Anykščių miesto VVG</w:t>
            </w:r>
            <w:r w:rsidRPr="0043377C">
              <w:rPr>
                <w:rFonts w:ascii="Times New Roman" w:eastAsia="Times New Roman" w:hAnsi="Times New Roman" w:cs="Times New Roman"/>
              </w:rPr>
              <w:t xml:space="preserve"> veiklą</w:t>
            </w:r>
            <w:r>
              <w:rPr>
                <w:rFonts w:ascii="Times New Roman" w:eastAsia="Times New Roman" w:hAnsi="Times New Roman" w:cs="Times New Roman"/>
              </w:rPr>
              <w:t>;</w:t>
            </w:r>
          </w:p>
          <w:p w14:paraId="2DCEB514" w14:textId="77777777" w:rsidR="00313DC6" w:rsidRDefault="00313DC6" w:rsidP="00313DC6">
            <w:pPr>
              <w:pStyle w:val="ListParagraph"/>
              <w:numPr>
                <w:ilvl w:val="0"/>
                <w:numId w:val="35"/>
              </w:numPr>
              <w:spacing w:before="120" w:after="120" w:line="240" w:lineRule="auto"/>
              <w:rPr>
                <w:rFonts w:ascii="Times New Roman" w:eastAsia="Times New Roman" w:hAnsi="Times New Roman" w:cs="Times New Roman"/>
              </w:rPr>
            </w:pPr>
            <w:r w:rsidRPr="00313DC6">
              <w:rPr>
                <w:rFonts w:ascii="Times New Roman" w:eastAsia="Times New Roman" w:hAnsi="Times New Roman" w:cs="Times New Roman"/>
              </w:rPr>
              <w:t xml:space="preserve">kontroliuoja ir koordinuoja </w:t>
            </w:r>
            <w:r>
              <w:rPr>
                <w:rFonts w:ascii="Times New Roman" w:eastAsia="Times New Roman" w:hAnsi="Times New Roman" w:cs="Times New Roman"/>
              </w:rPr>
              <w:t>Anykščių miesto VVG</w:t>
            </w:r>
            <w:r w:rsidRPr="00313DC6">
              <w:rPr>
                <w:rFonts w:ascii="Times New Roman" w:eastAsia="Times New Roman" w:hAnsi="Times New Roman" w:cs="Times New Roman"/>
              </w:rPr>
              <w:t xml:space="preserve"> visuotinių </w:t>
            </w:r>
            <w:r>
              <w:rPr>
                <w:rFonts w:ascii="Times New Roman" w:eastAsia="Times New Roman" w:hAnsi="Times New Roman" w:cs="Times New Roman"/>
              </w:rPr>
              <w:t>narių</w:t>
            </w:r>
            <w:r w:rsidRPr="00313DC6">
              <w:rPr>
                <w:rFonts w:ascii="Times New Roman" w:eastAsia="Times New Roman" w:hAnsi="Times New Roman" w:cs="Times New Roman"/>
              </w:rPr>
              <w:t xml:space="preserve"> susirinkimų nutarimų, </w:t>
            </w:r>
            <w:r>
              <w:rPr>
                <w:rFonts w:ascii="Times New Roman" w:eastAsia="Times New Roman" w:hAnsi="Times New Roman" w:cs="Times New Roman"/>
              </w:rPr>
              <w:t>Anykščių miesto VVG valdybos narių ir</w:t>
            </w:r>
            <w:r w:rsidRPr="00313DC6">
              <w:rPr>
                <w:rFonts w:ascii="Times New Roman" w:eastAsia="Times New Roman" w:hAnsi="Times New Roman" w:cs="Times New Roman"/>
              </w:rPr>
              <w:t xml:space="preserve"> audito</w:t>
            </w:r>
            <w:r>
              <w:rPr>
                <w:rFonts w:ascii="Times New Roman" w:eastAsia="Times New Roman" w:hAnsi="Times New Roman" w:cs="Times New Roman"/>
              </w:rPr>
              <w:t>rių</w:t>
            </w:r>
            <w:r w:rsidRPr="00313DC6">
              <w:rPr>
                <w:rFonts w:ascii="Times New Roman" w:eastAsia="Times New Roman" w:hAnsi="Times New Roman" w:cs="Times New Roman"/>
              </w:rPr>
              <w:t xml:space="preserve"> pa</w:t>
            </w:r>
            <w:r>
              <w:rPr>
                <w:rFonts w:ascii="Times New Roman" w:eastAsia="Times New Roman" w:hAnsi="Times New Roman" w:cs="Times New Roman"/>
              </w:rPr>
              <w:t>stabų ir pasiūlymų įgyvendinimą;</w:t>
            </w:r>
          </w:p>
          <w:p w14:paraId="5D3E249C" w14:textId="2A4984BB" w:rsidR="00313DC6" w:rsidRDefault="00313DC6" w:rsidP="00313DC6">
            <w:pPr>
              <w:pStyle w:val="ListParagraph"/>
              <w:numPr>
                <w:ilvl w:val="0"/>
                <w:numId w:val="35"/>
              </w:numPr>
              <w:spacing w:before="120" w:after="120" w:line="240" w:lineRule="auto"/>
              <w:rPr>
                <w:rFonts w:ascii="Times New Roman" w:eastAsia="Times New Roman" w:hAnsi="Times New Roman" w:cs="Times New Roman"/>
              </w:rPr>
            </w:pPr>
            <w:r w:rsidRPr="00313DC6">
              <w:rPr>
                <w:rFonts w:ascii="Times New Roman" w:eastAsia="Times New Roman" w:hAnsi="Times New Roman" w:cs="Times New Roman"/>
              </w:rPr>
              <w:t>kontroliuoja ir koordinuoja</w:t>
            </w:r>
            <w:r>
              <w:rPr>
                <w:rFonts w:ascii="Times New Roman" w:eastAsia="Times New Roman" w:hAnsi="Times New Roman" w:cs="Times New Roman"/>
              </w:rPr>
              <w:t xml:space="preserve"> Anykščių miesto VVG</w:t>
            </w:r>
            <w:r w:rsidRPr="00313DC6">
              <w:rPr>
                <w:rFonts w:ascii="Times New Roman" w:eastAsia="Times New Roman" w:hAnsi="Times New Roman" w:cs="Times New Roman"/>
              </w:rPr>
              <w:t xml:space="preserve"> dokumentų </w:t>
            </w:r>
            <w:r>
              <w:rPr>
                <w:rFonts w:ascii="Times New Roman" w:eastAsia="Times New Roman" w:hAnsi="Times New Roman" w:cs="Times New Roman"/>
              </w:rPr>
              <w:t>rengimą ir saugojimą;</w:t>
            </w:r>
          </w:p>
          <w:p w14:paraId="7D81CB11" w14:textId="2DDBA872" w:rsidR="00143D0C" w:rsidRDefault="0043377C" w:rsidP="00F24DDD">
            <w:pPr>
              <w:pStyle w:val="ListParagraph"/>
              <w:numPr>
                <w:ilvl w:val="0"/>
                <w:numId w:val="35"/>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prižiūri </w:t>
            </w:r>
            <w:r w:rsidR="00143D0C">
              <w:rPr>
                <w:rFonts w:ascii="Times New Roman" w:eastAsia="Times New Roman" w:hAnsi="Times New Roman" w:cs="Times New Roman"/>
              </w:rPr>
              <w:t>Strategijos įgyvendi</w:t>
            </w:r>
            <w:r>
              <w:rPr>
                <w:rFonts w:ascii="Times New Roman" w:eastAsia="Times New Roman" w:hAnsi="Times New Roman" w:cs="Times New Roman"/>
              </w:rPr>
              <w:t>nimą</w:t>
            </w:r>
            <w:r w:rsidR="00143D0C">
              <w:rPr>
                <w:rFonts w:ascii="Times New Roman" w:eastAsia="Times New Roman" w:hAnsi="Times New Roman" w:cs="Times New Roman"/>
              </w:rPr>
              <w:t>;</w:t>
            </w:r>
          </w:p>
          <w:p w14:paraId="6028B137" w14:textId="08044EE9" w:rsidR="00143D0C" w:rsidRDefault="0043377C" w:rsidP="00F24DDD">
            <w:pPr>
              <w:pStyle w:val="ListParagraph"/>
              <w:numPr>
                <w:ilvl w:val="0"/>
                <w:numId w:val="35"/>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prižiūri Strategijos</w:t>
            </w:r>
            <w:r w:rsidR="00143D0C">
              <w:rPr>
                <w:rFonts w:ascii="Times New Roman" w:eastAsia="Times New Roman" w:hAnsi="Times New Roman" w:cs="Times New Roman"/>
              </w:rPr>
              <w:t xml:space="preserve"> įgyvendinimo </w:t>
            </w:r>
            <w:r>
              <w:rPr>
                <w:rFonts w:ascii="Times New Roman" w:eastAsia="Times New Roman" w:hAnsi="Times New Roman" w:cs="Times New Roman"/>
              </w:rPr>
              <w:t>stebėseną</w:t>
            </w:r>
            <w:r w:rsidR="00143D0C">
              <w:rPr>
                <w:rFonts w:ascii="Times New Roman" w:eastAsia="Times New Roman" w:hAnsi="Times New Roman" w:cs="Times New Roman"/>
              </w:rPr>
              <w:t>;</w:t>
            </w:r>
          </w:p>
          <w:p w14:paraId="02C2F1F5" w14:textId="52B86D31" w:rsidR="00143D0C" w:rsidRPr="00D31A5E" w:rsidRDefault="0043377C" w:rsidP="00943BAA">
            <w:pPr>
              <w:pStyle w:val="ListParagraph"/>
              <w:numPr>
                <w:ilvl w:val="0"/>
                <w:numId w:val="35"/>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pasirašo </w:t>
            </w:r>
            <w:r w:rsidR="00143D0C">
              <w:rPr>
                <w:rFonts w:ascii="Times New Roman" w:eastAsia="Times New Roman" w:hAnsi="Times New Roman" w:cs="Times New Roman"/>
              </w:rPr>
              <w:t>Asociacijos dokument</w:t>
            </w:r>
            <w:r w:rsidR="00313DC6">
              <w:rPr>
                <w:rFonts w:ascii="Times New Roman" w:eastAsia="Times New Roman" w:hAnsi="Times New Roman" w:cs="Times New Roman"/>
              </w:rPr>
              <w:t>us</w:t>
            </w:r>
            <w:r w:rsidR="00143D0C">
              <w:rPr>
                <w:rFonts w:ascii="Times New Roman" w:eastAsia="Times New Roman" w:hAnsi="Times New Roman" w:cs="Times New Roman"/>
              </w:rPr>
              <w:t>.</w:t>
            </w:r>
          </w:p>
        </w:tc>
      </w:tr>
      <w:tr w:rsidR="00C441EE" w:rsidRPr="000F5242" w14:paraId="46CBB077" w14:textId="77777777" w:rsidTr="00D31A5E">
        <w:tc>
          <w:tcPr>
            <w:tcW w:w="1809" w:type="dxa"/>
            <w:shd w:val="clear" w:color="auto" w:fill="F2F2F2"/>
          </w:tcPr>
          <w:p w14:paraId="3D8372F7" w14:textId="203474CE" w:rsidR="00C441EE" w:rsidRPr="00D31A5E" w:rsidRDefault="00D47B3C" w:rsidP="00F24DDD">
            <w:pPr>
              <w:spacing w:before="120" w:after="120" w:line="240" w:lineRule="auto"/>
              <w:rPr>
                <w:rFonts w:ascii="Times New Roman" w:eastAsia="Times New Roman" w:hAnsi="Times New Roman" w:cs="Times New Roman"/>
                <w:lang w:val="lt-LT"/>
              </w:rPr>
            </w:pPr>
            <w:r>
              <w:rPr>
                <w:rFonts w:ascii="Times New Roman" w:eastAsia="Times New Roman" w:hAnsi="Times New Roman" w:cs="Times New Roman"/>
                <w:lang w:val="lt-LT"/>
              </w:rPr>
              <w:t>Administracijos</w:t>
            </w:r>
            <w:r w:rsidRPr="00D31A5E">
              <w:rPr>
                <w:rFonts w:ascii="Times New Roman" w:eastAsia="Times New Roman" w:hAnsi="Times New Roman" w:cs="Times New Roman"/>
                <w:lang w:val="lt-LT"/>
              </w:rPr>
              <w:t xml:space="preserve"> </w:t>
            </w:r>
            <w:r w:rsidR="00C441EE" w:rsidRPr="00D31A5E">
              <w:rPr>
                <w:rFonts w:ascii="Times New Roman" w:eastAsia="Times New Roman" w:hAnsi="Times New Roman" w:cs="Times New Roman"/>
                <w:lang w:val="lt-LT"/>
              </w:rPr>
              <w:t>vadovas</w:t>
            </w:r>
          </w:p>
        </w:tc>
        <w:tc>
          <w:tcPr>
            <w:tcW w:w="8080" w:type="dxa"/>
            <w:shd w:val="clear" w:color="auto" w:fill="auto"/>
          </w:tcPr>
          <w:p w14:paraId="63D21A1D"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kvietimų teikti vietos plėtros projektinius pasiūlymus atrankai rengimas ir skelbimas;</w:t>
            </w:r>
          </w:p>
          <w:p w14:paraId="0E40AECB"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projektinių pasiūlymų registravimas, bylų formavimas ir archyvavimas;</w:t>
            </w:r>
          </w:p>
          <w:p w14:paraId="627E5692"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vietos projektų pareiškėjų konsultavimas;</w:t>
            </w:r>
          </w:p>
          <w:p w14:paraId="23CBFB0E" w14:textId="7F7576D3"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 xml:space="preserve">vietos projektų įgyvendinimo stebėsena ir stebėsenos ataskaitų rengimas bei teikimas </w:t>
            </w:r>
            <w:r>
              <w:rPr>
                <w:rFonts w:ascii="Times New Roman" w:eastAsia="Times New Roman" w:hAnsi="Times New Roman" w:cs="Times New Roman"/>
              </w:rPr>
              <w:t>Asociacijos v</w:t>
            </w:r>
            <w:r w:rsidRPr="00D31A5E">
              <w:rPr>
                <w:rFonts w:ascii="Times New Roman" w:eastAsia="Times New Roman" w:hAnsi="Times New Roman" w:cs="Times New Roman"/>
              </w:rPr>
              <w:t xml:space="preserve">aldybai ir </w:t>
            </w:r>
            <w:r>
              <w:rPr>
                <w:rFonts w:ascii="Times New Roman" w:eastAsia="Times New Roman" w:hAnsi="Times New Roman" w:cs="Times New Roman"/>
              </w:rPr>
              <w:t>Ministerijai</w:t>
            </w:r>
            <w:r w:rsidRPr="00D31A5E">
              <w:rPr>
                <w:rFonts w:ascii="Times New Roman" w:eastAsia="Times New Roman" w:hAnsi="Times New Roman" w:cs="Times New Roman"/>
              </w:rPr>
              <w:t>;</w:t>
            </w:r>
          </w:p>
          <w:p w14:paraId="636AFDA8" w14:textId="7108F9E4"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rizikų nustatymas, registravimas ir jos įtakos mažinimo priem</w:t>
            </w:r>
            <w:r>
              <w:rPr>
                <w:rFonts w:ascii="Times New Roman" w:eastAsia="Times New Roman" w:hAnsi="Times New Roman" w:cs="Times New Roman"/>
              </w:rPr>
              <w:t>onių įgyvendinimas. Savalaikis Asociacijos v</w:t>
            </w:r>
            <w:r w:rsidRPr="00D31A5E">
              <w:rPr>
                <w:rFonts w:ascii="Times New Roman" w:eastAsia="Times New Roman" w:hAnsi="Times New Roman" w:cs="Times New Roman"/>
              </w:rPr>
              <w:t>aldybos informavimas apie sudėtingas problemas ir rizikas;</w:t>
            </w:r>
          </w:p>
          <w:p w14:paraId="1A92115E" w14:textId="1E37757C"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 xml:space="preserve">komunikacija su projektinių pasiūlymų vertintojais, pareiškėjais, </w:t>
            </w:r>
            <w:r>
              <w:rPr>
                <w:rFonts w:ascii="Times New Roman" w:eastAsia="Times New Roman" w:hAnsi="Times New Roman" w:cs="Times New Roman"/>
              </w:rPr>
              <w:t>Ministerija</w:t>
            </w:r>
            <w:r w:rsidRPr="00D31A5E">
              <w:rPr>
                <w:rFonts w:ascii="Times New Roman" w:eastAsia="Times New Roman" w:hAnsi="Times New Roman" w:cs="Times New Roman"/>
              </w:rPr>
              <w:t xml:space="preserve"> ir kitais suinteresuotais asmenimis;</w:t>
            </w:r>
          </w:p>
          <w:p w14:paraId="70B0F5DF"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reikalingų raštų rengimas;</w:t>
            </w:r>
          </w:p>
          <w:p w14:paraId="4FD56B17"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projektų patikros vykdymas, išvadų rengimas;</w:t>
            </w:r>
          </w:p>
          <w:p w14:paraId="497A2D98"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atskirų užduočių, susijusių su strategijos įgyvendinimu, vykdymas;</w:t>
            </w:r>
          </w:p>
          <w:p w14:paraId="6F33EAB2"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lėšų panaudojimo ir veiksmingumo vertinimas ir užtikrinimas;</w:t>
            </w:r>
          </w:p>
          <w:p w14:paraId="35BF9DA2"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įvairių organizacijų ar asmenų prašymų, pareiškimų, skundų nagrinėjimas pagal leidžiamą kompetenciją;</w:t>
            </w:r>
          </w:p>
          <w:p w14:paraId="130F2A25" w14:textId="3499DB8B"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S</w:t>
            </w:r>
            <w:r w:rsidRPr="00D31A5E">
              <w:rPr>
                <w:rFonts w:ascii="Times New Roman" w:eastAsia="Times New Roman" w:hAnsi="Times New Roman" w:cs="Times New Roman"/>
              </w:rPr>
              <w:t>trategijos viešinimas;</w:t>
            </w:r>
          </w:p>
          <w:p w14:paraId="76DE3CB4" w14:textId="47D07C32" w:rsidR="00C441E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kitos, su vietos plėtros strategijos įgyvendinimu, susijusios funkcijos.</w:t>
            </w:r>
          </w:p>
        </w:tc>
      </w:tr>
      <w:tr w:rsidR="00C441EE" w:rsidRPr="000F5242" w14:paraId="3304E848" w14:textId="77777777" w:rsidTr="00D31A5E">
        <w:tc>
          <w:tcPr>
            <w:tcW w:w="1809" w:type="dxa"/>
            <w:shd w:val="clear" w:color="auto" w:fill="F2F2F2"/>
          </w:tcPr>
          <w:p w14:paraId="0F3D8E70" w14:textId="77777777" w:rsidR="00C441EE" w:rsidRPr="00D31A5E" w:rsidRDefault="00C441EE" w:rsidP="00F24DDD">
            <w:pPr>
              <w:spacing w:before="120" w:after="120" w:line="240" w:lineRule="auto"/>
              <w:rPr>
                <w:rFonts w:ascii="Times New Roman" w:eastAsia="Times New Roman" w:hAnsi="Times New Roman" w:cs="Times New Roman"/>
                <w:lang w:val="lt-LT"/>
              </w:rPr>
            </w:pPr>
            <w:r w:rsidRPr="00D31A5E">
              <w:rPr>
                <w:rFonts w:ascii="Times New Roman" w:eastAsia="Times New Roman" w:hAnsi="Times New Roman" w:cs="Times New Roman"/>
                <w:lang w:val="lt-LT"/>
              </w:rPr>
              <w:t>Asociacijos finansininkas</w:t>
            </w:r>
          </w:p>
        </w:tc>
        <w:tc>
          <w:tcPr>
            <w:tcW w:w="8080" w:type="dxa"/>
            <w:shd w:val="clear" w:color="auto" w:fill="auto"/>
          </w:tcPr>
          <w:p w14:paraId="231492ED" w14:textId="3B08478F"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Asociacijos</w:t>
            </w:r>
            <w:r w:rsidRPr="00D31A5E">
              <w:rPr>
                <w:rFonts w:ascii="Times New Roman" w:eastAsia="Times New Roman" w:hAnsi="Times New Roman" w:cs="Times New Roman"/>
              </w:rPr>
              <w:t xml:space="preserve"> finansinės-buhalterinės apskaitos organizavimas, finansinių dokumentų rengimas, kaupimas, archyvavimas;</w:t>
            </w:r>
          </w:p>
          <w:p w14:paraId="675556C7"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finansinių operacijų teisėtumo užtikrinimas;</w:t>
            </w:r>
          </w:p>
          <w:p w14:paraId="4FEEF179"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vietos projektų įgyvendinimo stebėsena ir periodiškas ataskaitų rengimas;</w:t>
            </w:r>
          </w:p>
          <w:p w14:paraId="1CB29F5A"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projektų patikros vykdymas, išvadų rengimas;</w:t>
            </w:r>
          </w:p>
          <w:p w14:paraId="0B9804DC" w14:textId="77777777" w:rsidR="00D31A5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lėšų panaudojimo ir veiksmingumo vertinimas ir užtikrinimas;</w:t>
            </w:r>
          </w:p>
          <w:p w14:paraId="478E23EC" w14:textId="61FF1222" w:rsidR="00C441EE" w:rsidRPr="00D31A5E" w:rsidRDefault="00D31A5E" w:rsidP="00F24DDD">
            <w:pPr>
              <w:pStyle w:val="ListParagraph"/>
              <w:numPr>
                <w:ilvl w:val="0"/>
                <w:numId w:val="35"/>
              </w:numPr>
              <w:spacing w:before="120" w:after="120" w:line="240" w:lineRule="auto"/>
              <w:rPr>
                <w:rFonts w:ascii="Times New Roman" w:eastAsia="Times New Roman" w:hAnsi="Times New Roman" w:cs="Times New Roman"/>
              </w:rPr>
            </w:pPr>
            <w:r w:rsidRPr="00D31A5E">
              <w:rPr>
                <w:rFonts w:ascii="Times New Roman" w:eastAsia="Times New Roman" w:hAnsi="Times New Roman" w:cs="Times New Roman"/>
              </w:rPr>
              <w:t>kitos, su vietos plėtros strategijos įgyvendinimu, susijusios funkcijos.</w:t>
            </w:r>
          </w:p>
        </w:tc>
      </w:tr>
      <w:tr w:rsidR="00C441EE" w:rsidRPr="00C441EE" w14:paraId="5CB5B7C6" w14:textId="77777777" w:rsidTr="00D31A5E">
        <w:tc>
          <w:tcPr>
            <w:tcW w:w="1809" w:type="dxa"/>
            <w:shd w:val="clear" w:color="auto" w:fill="F2F2F2"/>
          </w:tcPr>
          <w:p w14:paraId="7A718EB6" w14:textId="77777777" w:rsidR="00C441EE" w:rsidRPr="00D31A5E" w:rsidRDefault="00C441EE" w:rsidP="00F24DDD">
            <w:pPr>
              <w:spacing w:before="120" w:after="120" w:line="240" w:lineRule="auto"/>
              <w:rPr>
                <w:rFonts w:ascii="Times New Roman" w:eastAsia="Times New Roman" w:hAnsi="Times New Roman" w:cs="Times New Roman"/>
                <w:lang w:val="lt-LT"/>
              </w:rPr>
            </w:pPr>
            <w:r w:rsidRPr="00D31A5E">
              <w:rPr>
                <w:rFonts w:ascii="Times New Roman" w:eastAsia="Times New Roman" w:hAnsi="Times New Roman" w:cs="Times New Roman"/>
                <w:lang w:val="lt-LT"/>
              </w:rPr>
              <w:t>Vertintojai</w:t>
            </w:r>
          </w:p>
        </w:tc>
        <w:tc>
          <w:tcPr>
            <w:tcW w:w="8080" w:type="dxa"/>
            <w:shd w:val="clear" w:color="auto" w:fill="auto"/>
          </w:tcPr>
          <w:p w14:paraId="443840D6" w14:textId="5527F4C1" w:rsidR="00C441EE" w:rsidRDefault="00D31A5E" w:rsidP="00F24DDD">
            <w:pPr>
              <w:pStyle w:val="ListParagraph"/>
              <w:numPr>
                <w:ilvl w:val="0"/>
                <w:numId w:val="35"/>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Pr</w:t>
            </w:r>
            <w:r w:rsidR="0054550C">
              <w:rPr>
                <w:rFonts w:ascii="Times New Roman" w:eastAsia="Times New Roman" w:hAnsi="Times New Roman" w:cs="Times New Roman"/>
              </w:rPr>
              <w:t>ojektinių pasiūlymų vertinimas</w:t>
            </w:r>
            <w:r>
              <w:rPr>
                <w:rFonts w:ascii="Times New Roman" w:eastAsia="Times New Roman" w:hAnsi="Times New Roman" w:cs="Times New Roman"/>
              </w:rPr>
              <w:t>;</w:t>
            </w:r>
          </w:p>
          <w:p w14:paraId="717CD2F3" w14:textId="336B8DD9" w:rsidR="00D31A5E" w:rsidRPr="00D31A5E" w:rsidRDefault="0054550C" w:rsidP="00F24DDD">
            <w:pPr>
              <w:pStyle w:val="ListParagraph"/>
              <w:numPr>
                <w:ilvl w:val="0"/>
                <w:numId w:val="35"/>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vertinimo išvadų rengimas</w:t>
            </w:r>
            <w:r w:rsidR="00D31A5E">
              <w:rPr>
                <w:rFonts w:ascii="Times New Roman" w:eastAsia="Times New Roman" w:hAnsi="Times New Roman" w:cs="Times New Roman"/>
              </w:rPr>
              <w:t>.</w:t>
            </w:r>
          </w:p>
        </w:tc>
      </w:tr>
    </w:tbl>
    <w:p w14:paraId="75B717EB" w14:textId="3D1C2836" w:rsidR="00C441EE" w:rsidRPr="00C441EE" w:rsidRDefault="00C441EE" w:rsidP="00F24DDD">
      <w:pPr>
        <w:pStyle w:val="Default"/>
        <w:spacing w:before="120" w:after="120"/>
        <w:ind w:left="720"/>
        <w:jc w:val="both"/>
        <w:rPr>
          <w:lang w:bidi="en-US"/>
        </w:rPr>
      </w:pPr>
    </w:p>
    <w:p w14:paraId="1E02C8D6" w14:textId="77777777" w:rsidR="00D84F99" w:rsidRPr="00FB1155" w:rsidRDefault="00D84F99" w:rsidP="00D84F99">
      <w:pPr>
        <w:pStyle w:val="Heading1"/>
      </w:pPr>
      <w:bookmarkStart w:id="18" w:name="_Toc484547354"/>
      <w:r w:rsidRPr="00FB1155">
        <w:lastRenderedPageBreak/>
        <w:t>Skyrius. Baigiamosios nuostatos</w:t>
      </w:r>
      <w:bookmarkEnd w:id="18"/>
      <w:r w:rsidRPr="00FB1155">
        <w:t xml:space="preserve"> </w:t>
      </w:r>
    </w:p>
    <w:p w14:paraId="0A660252" w14:textId="249B07E1" w:rsidR="00637D72" w:rsidRPr="00FB1155" w:rsidRDefault="001B795F" w:rsidP="00483D6C">
      <w:pPr>
        <w:pStyle w:val="Default"/>
        <w:numPr>
          <w:ilvl w:val="0"/>
          <w:numId w:val="7"/>
        </w:numPr>
        <w:spacing w:before="120" w:after="120"/>
        <w:jc w:val="both"/>
        <w:rPr>
          <w:color w:val="auto"/>
        </w:rPr>
      </w:pPr>
      <w:r w:rsidRPr="00FB1155">
        <w:rPr>
          <w:color w:val="auto"/>
        </w:rPr>
        <w:t>Anykščių</w:t>
      </w:r>
      <w:r w:rsidR="00483D6C" w:rsidRPr="00FB1155">
        <w:rPr>
          <w:color w:val="auto"/>
        </w:rPr>
        <w:t xml:space="preserve"> miesto</w:t>
      </w:r>
      <w:r w:rsidR="00637D72" w:rsidRPr="00FB1155">
        <w:rPr>
          <w:color w:val="auto"/>
        </w:rPr>
        <w:t xml:space="preserve"> VVG, visus dokumentus ir (arba) jų kopijas, susijusias su Strategijos įgyvendinimo administravimu, saugo vadovaujantis Bendrųjų dokumentų saugojimo terminų rodykle, patvirtinta Lietuvos vyriausiojo archyvaro 2011 m. kovo 9 d. įsakymu Nr. V-100 „Dėl Bendrųjų dokumentų saugojimo terminų rodyklės patvirtinimo“. </w:t>
      </w:r>
    </w:p>
    <w:p w14:paraId="0673C2CF" w14:textId="679278E4" w:rsidR="001E5070" w:rsidRPr="00FB1155" w:rsidRDefault="00637D72" w:rsidP="00483D6C">
      <w:pPr>
        <w:pStyle w:val="Default"/>
        <w:numPr>
          <w:ilvl w:val="0"/>
          <w:numId w:val="7"/>
        </w:numPr>
        <w:spacing w:before="120" w:after="120"/>
        <w:jc w:val="both"/>
        <w:rPr>
          <w:color w:val="auto"/>
        </w:rPr>
      </w:pPr>
      <w:r w:rsidRPr="00FB1155">
        <w:rPr>
          <w:color w:val="auto"/>
        </w:rPr>
        <w:t xml:space="preserve">Projektinių pasiūlymų rengėjai ir vietos plėtros projektų vykdytojai, nesutikdama su </w:t>
      </w:r>
      <w:r w:rsidR="001B795F" w:rsidRPr="00FB1155">
        <w:rPr>
          <w:color w:val="auto"/>
        </w:rPr>
        <w:t>Anykščių</w:t>
      </w:r>
      <w:r w:rsidR="00483D6C" w:rsidRPr="00FB1155">
        <w:rPr>
          <w:color w:val="auto"/>
        </w:rPr>
        <w:t xml:space="preserve"> miesto</w:t>
      </w:r>
      <w:r w:rsidRPr="00FB1155">
        <w:rPr>
          <w:color w:val="auto"/>
        </w:rPr>
        <w:t xml:space="preserve"> VVG, Ministerijos priimtais sprendimais, veikimu arba neveikimu, susijusiais su vietos plėtros projektinių pasiūlymų įtraukimu/neįtraukimu į Ministerijos siūlomų finansuoti vietos plėtros projektų sąrašus, turi teisę juos apskųsti teisės aktų nustatyta tvarka. </w:t>
      </w:r>
    </w:p>
    <w:p w14:paraId="2EBE3A6B" w14:textId="529D5CF5" w:rsidR="003C5155" w:rsidRPr="00FB1155" w:rsidRDefault="00F37799" w:rsidP="000A69D5">
      <w:pPr>
        <w:pStyle w:val="Heading1"/>
      </w:pPr>
      <w:bookmarkStart w:id="19" w:name="_Toc484547355"/>
      <w:r w:rsidRPr="00FB1155">
        <w:lastRenderedPageBreak/>
        <w:t>Skyrius</w:t>
      </w:r>
      <w:r w:rsidR="00FE0A58" w:rsidRPr="00FB1155">
        <w:t xml:space="preserve">. </w:t>
      </w:r>
      <w:r w:rsidR="00DC72A3" w:rsidRPr="00FB1155">
        <w:t>Pried</w:t>
      </w:r>
      <w:r w:rsidR="0029435B" w:rsidRPr="00FB1155">
        <w:t>ų sąrašas</w:t>
      </w:r>
      <w:bookmarkEnd w:id="19"/>
    </w:p>
    <w:p w14:paraId="605F21AF" w14:textId="73E4A3D9" w:rsidR="0006768D" w:rsidRPr="00FB1155" w:rsidRDefault="0006768D" w:rsidP="0006768D">
      <w:pPr>
        <w:rPr>
          <w:rFonts w:ascii="Times New Roman" w:hAnsi="Times New Roman" w:cs="Times New Roman"/>
          <w:sz w:val="24"/>
          <w:szCs w:val="24"/>
          <w:lang w:val="lt-LT"/>
        </w:rPr>
      </w:pPr>
      <w:r>
        <w:rPr>
          <w:rFonts w:ascii="Times New Roman" w:hAnsi="Times New Roman" w:cs="Times New Roman"/>
          <w:sz w:val="24"/>
          <w:szCs w:val="24"/>
          <w:lang w:val="lt-LT"/>
        </w:rPr>
        <w:t>A</w:t>
      </w:r>
      <w:r w:rsidRPr="00FB1155">
        <w:rPr>
          <w:rFonts w:ascii="Times New Roman" w:hAnsi="Times New Roman" w:cs="Times New Roman"/>
          <w:sz w:val="24"/>
          <w:szCs w:val="24"/>
          <w:lang w:val="lt-LT"/>
        </w:rPr>
        <w:t>tskirais dokumentais</w:t>
      </w:r>
      <w:r w:rsidRPr="0006768D">
        <w:rPr>
          <w:rFonts w:ascii="Times New Roman" w:hAnsi="Times New Roman" w:cs="Times New Roman"/>
          <w:sz w:val="24"/>
          <w:szCs w:val="24"/>
          <w:lang w:val="lt-LT"/>
        </w:rPr>
        <w:t xml:space="preserve"> </w:t>
      </w:r>
      <w:r w:rsidRPr="00FB1155">
        <w:rPr>
          <w:rFonts w:ascii="Times New Roman" w:hAnsi="Times New Roman" w:cs="Times New Roman"/>
          <w:sz w:val="24"/>
          <w:szCs w:val="24"/>
          <w:lang w:val="lt-LT"/>
        </w:rPr>
        <w:t>pateikiami</w:t>
      </w:r>
      <w:r w:rsidRPr="0006768D">
        <w:rPr>
          <w:rFonts w:ascii="Times New Roman" w:hAnsi="Times New Roman" w:cs="Times New Roman"/>
          <w:sz w:val="24"/>
          <w:szCs w:val="24"/>
          <w:lang w:val="lt-LT"/>
        </w:rPr>
        <w:t xml:space="preserve"> </w:t>
      </w:r>
      <w:r>
        <w:rPr>
          <w:rFonts w:ascii="Times New Roman" w:hAnsi="Times New Roman" w:cs="Times New Roman"/>
          <w:sz w:val="24"/>
          <w:szCs w:val="24"/>
          <w:lang w:val="lt-LT"/>
        </w:rPr>
        <w:t>šie Strategijos įgyvendinimo aprašo</w:t>
      </w:r>
      <w:r w:rsidRPr="0006768D">
        <w:rPr>
          <w:rFonts w:ascii="Times New Roman" w:hAnsi="Times New Roman" w:cs="Times New Roman"/>
          <w:sz w:val="24"/>
          <w:szCs w:val="24"/>
          <w:lang w:val="lt-LT"/>
        </w:rPr>
        <w:t xml:space="preserve"> </w:t>
      </w:r>
      <w:r>
        <w:rPr>
          <w:rFonts w:ascii="Times New Roman" w:hAnsi="Times New Roman" w:cs="Times New Roman"/>
          <w:sz w:val="24"/>
          <w:szCs w:val="24"/>
          <w:lang w:val="lt-LT"/>
        </w:rPr>
        <w:t>p</w:t>
      </w:r>
      <w:r w:rsidRPr="00FB1155">
        <w:rPr>
          <w:rFonts w:ascii="Times New Roman" w:hAnsi="Times New Roman" w:cs="Times New Roman"/>
          <w:sz w:val="24"/>
          <w:szCs w:val="24"/>
          <w:lang w:val="lt-LT"/>
        </w:rPr>
        <w:t>riedai</w:t>
      </w:r>
      <w:r>
        <w:rPr>
          <w:rFonts w:ascii="Times New Roman" w:hAnsi="Times New Roman" w:cs="Times New Roman"/>
          <w:sz w:val="24"/>
          <w:szCs w:val="24"/>
          <w:lang w:val="lt-LT"/>
        </w:rPr>
        <w:t>:</w:t>
      </w:r>
    </w:p>
    <w:p w14:paraId="52D3F828" w14:textId="5AE39480" w:rsidR="003C5155" w:rsidRPr="00FB1155" w:rsidRDefault="003C5155" w:rsidP="003C5155">
      <w:pPr>
        <w:pStyle w:val="Default"/>
        <w:spacing w:before="120" w:after="120"/>
        <w:jc w:val="both"/>
        <w:rPr>
          <w:color w:val="auto"/>
        </w:rPr>
      </w:pPr>
      <w:r w:rsidRPr="00FB1155">
        <w:rPr>
          <w:color w:val="auto"/>
        </w:rPr>
        <w:t>1 priedas. Kvietimo atrankai forma</w:t>
      </w:r>
      <w:r w:rsidR="000324BD" w:rsidRPr="00FB1155">
        <w:rPr>
          <w:color w:val="auto"/>
        </w:rPr>
        <w:t>;</w:t>
      </w:r>
    </w:p>
    <w:p w14:paraId="126CFBE8" w14:textId="481C46B2" w:rsidR="00CE1BED" w:rsidRPr="00FB1155" w:rsidRDefault="00CE1BED" w:rsidP="003C5155">
      <w:pPr>
        <w:pStyle w:val="Default"/>
        <w:spacing w:before="120" w:after="120"/>
        <w:jc w:val="both"/>
        <w:rPr>
          <w:color w:val="auto"/>
        </w:rPr>
      </w:pPr>
      <w:r w:rsidRPr="00FB1155">
        <w:rPr>
          <w:color w:val="auto"/>
        </w:rPr>
        <w:t>2 priedas. Projektinio pasiūlymo forma;</w:t>
      </w:r>
    </w:p>
    <w:p w14:paraId="0BD9D907" w14:textId="1C6A28F2" w:rsidR="000324BD" w:rsidRPr="00FB1155" w:rsidRDefault="000324BD" w:rsidP="003C5155">
      <w:pPr>
        <w:pStyle w:val="Default"/>
        <w:spacing w:before="120" w:after="120"/>
        <w:jc w:val="both"/>
        <w:rPr>
          <w:color w:val="auto"/>
        </w:rPr>
      </w:pPr>
      <w:r w:rsidRPr="00FB1155">
        <w:rPr>
          <w:color w:val="auto"/>
        </w:rPr>
        <w:t xml:space="preserve">3 </w:t>
      </w:r>
      <w:r w:rsidR="00EC29E8" w:rsidRPr="00FB1155">
        <w:rPr>
          <w:color w:val="auto"/>
        </w:rPr>
        <w:t>priedas</w:t>
      </w:r>
      <w:r w:rsidRPr="00FB1155">
        <w:rPr>
          <w:color w:val="auto"/>
        </w:rPr>
        <w:t xml:space="preserve">. </w:t>
      </w:r>
      <w:r w:rsidR="00463781" w:rsidRPr="00FB1155">
        <w:rPr>
          <w:color w:val="auto"/>
        </w:rPr>
        <w:t>P</w:t>
      </w:r>
      <w:r w:rsidRPr="00FB1155">
        <w:rPr>
          <w:color w:val="auto"/>
        </w:rPr>
        <w:t xml:space="preserve">rojektinio pasiūlymo </w:t>
      </w:r>
      <w:r w:rsidR="00FE3B70" w:rsidRPr="00FB1155">
        <w:rPr>
          <w:color w:val="auto"/>
        </w:rPr>
        <w:t>vertinimo išvados forma</w:t>
      </w:r>
      <w:r w:rsidRPr="00FB1155">
        <w:rPr>
          <w:color w:val="auto"/>
        </w:rPr>
        <w:t>;</w:t>
      </w:r>
    </w:p>
    <w:p w14:paraId="380D0EE7" w14:textId="478BF0CE" w:rsidR="009D3837" w:rsidRPr="00FB1155" w:rsidRDefault="009D3837" w:rsidP="003C5155">
      <w:pPr>
        <w:pStyle w:val="Default"/>
        <w:spacing w:before="120" w:after="120"/>
        <w:jc w:val="both"/>
        <w:rPr>
          <w:color w:val="auto"/>
        </w:rPr>
      </w:pPr>
      <w:r w:rsidRPr="00FB1155">
        <w:rPr>
          <w:color w:val="auto"/>
        </w:rPr>
        <w:t xml:space="preserve">4 priedas. </w:t>
      </w:r>
      <w:r w:rsidR="006C0ED1" w:rsidRPr="00FB1155">
        <w:rPr>
          <w:color w:val="auto"/>
        </w:rPr>
        <w:t>M</w:t>
      </w:r>
      <w:r w:rsidRPr="00FB1155">
        <w:rPr>
          <w:color w:val="auto"/>
        </w:rPr>
        <w:t>etinės/galutinės ataskaitos forma;</w:t>
      </w:r>
    </w:p>
    <w:p w14:paraId="31BCAA6D" w14:textId="1672697D" w:rsidR="00C655EE" w:rsidRPr="00FB1155" w:rsidRDefault="00C655EE" w:rsidP="003C5155">
      <w:pPr>
        <w:pStyle w:val="Default"/>
        <w:spacing w:before="120" w:after="120"/>
        <w:jc w:val="both"/>
        <w:rPr>
          <w:color w:val="auto"/>
        </w:rPr>
      </w:pPr>
      <w:r w:rsidRPr="00FB1155">
        <w:rPr>
          <w:color w:val="auto"/>
        </w:rPr>
        <w:t>5 priedas. Vidaus reikalų ministerijos rekomendaciniai vietos plėtros projekto administracinės atitikties, naudos ir kokybės kriterijai</w:t>
      </w:r>
      <w:r w:rsidR="00B6288E" w:rsidRPr="00FB1155">
        <w:rPr>
          <w:color w:val="auto"/>
        </w:rPr>
        <w:t>;</w:t>
      </w:r>
    </w:p>
    <w:p w14:paraId="563504D7" w14:textId="0F471C03" w:rsidR="00AD2B4B" w:rsidRPr="00FB1155" w:rsidRDefault="00AD2B4B" w:rsidP="003C5155">
      <w:pPr>
        <w:pStyle w:val="Default"/>
        <w:spacing w:before="120" w:after="120"/>
        <w:jc w:val="both"/>
        <w:rPr>
          <w:color w:val="auto"/>
        </w:rPr>
      </w:pPr>
      <w:r w:rsidRPr="00FB1155">
        <w:rPr>
          <w:color w:val="auto"/>
        </w:rPr>
        <w:t>6 pried</w:t>
      </w:r>
      <w:r w:rsidR="000548E5" w:rsidRPr="00FB1155">
        <w:rPr>
          <w:color w:val="auto"/>
        </w:rPr>
        <w:t xml:space="preserve">as. </w:t>
      </w:r>
      <w:r w:rsidR="002744D6" w:rsidRPr="00FB1155">
        <w:rPr>
          <w:color w:val="auto"/>
        </w:rPr>
        <w:t>P</w:t>
      </w:r>
      <w:r w:rsidRPr="00FB1155">
        <w:rPr>
          <w:color w:val="auto"/>
        </w:rPr>
        <w:t>rojekt</w:t>
      </w:r>
      <w:r w:rsidR="000548E5" w:rsidRPr="00FB1155">
        <w:rPr>
          <w:color w:val="auto"/>
        </w:rPr>
        <w:t>ų sąrašo forma</w:t>
      </w:r>
      <w:r w:rsidRPr="00FB1155">
        <w:rPr>
          <w:color w:val="auto"/>
        </w:rPr>
        <w:t>;</w:t>
      </w:r>
    </w:p>
    <w:p w14:paraId="2B2AEF2B" w14:textId="7F976418" w:rsidR="0064350A" w:rsidRPr="00FB1155" w:rsidRDefault="0064350A" w:rsidP="003C5155">
      <w:pPr>
        <w:pStyle w:val="Default"/>
        <w:spacing w:before="120" w:after="120"/>
        <w:jc w:val="both"/>
        <w:rPr>
          <w:color w:val="auto"/>
        </w:rPr>
      </w:pPr>
      <w:r w:rsidRPr="00FB1155">
        <w:rPr>
          <w:color w:val="auto"/>
        </w:rPr>
        <w:t>7 priedas. Konfidencialumo ir nešališkumo deklaracijos forma</w:t>
      </w:r>
      <w:r w:rsidR="000548E5" w:rsidRPr="00FB1155">
        <w:rPr>
          <w:color w:val="auto"/>
        </w:rPr>
        <w:t>;</w:t>
      </w:r>
    </w:p>
    <w:p w14:paraId="7A9F48E8" w14:textId="0125BFD6" w:rsidR="000548E5" w:rsidRPr="00FB1155" w:rsidRDefault="000548E5" w:rsidP="003C5155">
      <w:pPr>
        <w:pStyle w:val="Default"/>
        <w:spacing w:before="120" w:after="120"/>
        <w:jc w:val="both"/>
        <w:rPr>
          <w:color w:val="auto"/>
        </w:rPr>
      </w:pPr>
      <w:r w:rsidRPr="00FB1155">
        <w:rPr>
          <w:color w:val="auto"/>
        </w:rPr>
        <w:t xml:space="preserve">8 priedas. </w:t>
      </w:r>
      <w:r w:rsidR="00034C10" w:rsidRPr="00FB1155">
        <w:rPr>
          <w:color w:val="auto"/>
        </w:rPr>
        <w:t>S</w:t>
      </w:r>
      <w:r w:rsidRPr="00FB1155">
        <w:rPr>
          <w:color w:val="auto"/>
        </w:rPr>
        <w:t>tebėsenos ataskaitos forma</w:t>
      </w:r>
      <w:r w:rsidR="00BB2A8B" w:rsidRPr="00FB1155">
        <w:rPr>
          <w:color w:val="auto"/>
        </w:rPr>
        <w:t>;</w:t>
      </w:r>
    </w:p>
    <w:p w14:paraId="2B9152E4" w14:textId="186352CD" w:rsidR="00BB2A8B" w:rsidRPr="00FB1155" w:rsidRDefault="00BB2A8B" w:rsidP="003C5155">
      <w:pPr>
        <w:pStyle w:val="Default"/>
        <w:spacing w:before="120" w:after="120"/>
        <w:jc w:val="both"/>
        <w:rPr>
          <w:color w:val="auto"/>
        </w:rPr>
      </w:pPr>
      <w:r w:rsidRPr="00FB1155">
        <w:rPr>
          <w:color w:val="auto"/>
        </w:rPr>
        <w:t>9 priedas. Administracinės atitikties vertinimo lentelės forma</w:t>
      </w:r>
      <w:r w:rsidR="00AF7001">
        <w:rPr>
          <w:color w:val="auto"/>
        </w:rPr>
        <w:t>;</w:t>
      </w:r>
    </w:p>
    <w:p w14:paraId="087D5534" w14:textId="14C9B800" w:rsidR="00317792" w:rsidRPr="00FB1155" w:rsidRDefault="00AF7001" w:rsidP="003C5155">
      <w:pPr>
        <w:pStyle w:val="Default"/>
        <w:spacing w:before="120" w:after="120"/>
        <w:jc w:val="both"/>
        <w:rPr>
          <w:color w:val="auto"/>
        </w:rPr>
      </w:pPr>
      <w:r>
        <w:rPr>
          <w:color w:val="auto"/>
        </w:rPr>
        <w:t>10</w:t>
      </w:r>
      <w:r w:rsidRPr="00FB1155">
        <w:rPr>
          <w:color w:val="auto"/>
        </w:rPr>
        <w:t xml:space="preserve"> priedas. </w:t>
      </w:r>
      <w:r>
        <w:rPr>
          <w:color w:val="auto"/>
        </w:rPr>
        <w:t>Naudos ir kokybės</w:t>
      </w:r>
      <w:r w:rsidRPr="00FB1155">
        <w:rPr>
          <w:color w:val="auto"/>
        </w:rPr>
        <w:t xml:space="preserve"> vertinimo lentelės forma</w:t>
      </w:r>
      <w:r w:rsidR="00800B70">
        <w:rPr>
          <w:color w:val="auto"/>
        </w:rPr>
        <w:t>;</w:t>
      </w:r>
    </w:p>
    <w:p w14:paraId="4B3A6489" w14:textId="1771C141" w:rsidR="00317792" w:rsidRDefault="00800B70" w:rsidP="003C5155">
      <w:pPr>
        <w:pStyle w:val="Default"/>
        <w:spacing w:before="120" w:after="120"/>
        <w:jc w:val="both"/>
        <w:rPr>
          <w:color w:val="auto"/>
        </w:rPr>
      </w:pPr>
      <w:r w:rsidRPr="009C202C">
        <w:rPr>
          <w:color w:val="auto"/>
        </w:rPr>
        <w:t>11 priedas. Strategij</w:t>
      </w:r>
      <w:r w:rsidR="009C202C" w:rsidRPr="009C202C">
        <w:rPr>
          <w:color w:val="auto"/>
        </w:rPr>
        <w:t>os įgyvendinimo veiksmų grafiko forma</w:t>
      </w:r>
      <w:r w:rsidR="003573DA">
        <w:rPr>
          <w:color w:val="auto"/>
        </w:rPr>
        <w:t>;</w:t>
      </w:r>
    </w:p>
    <w:p w14:paraId="7C4CE901" w14:textId="5543D878" w:rsidR="006A3C5C" w:rsidRDefault="006A3C5C" w:rsidP="003C5155">
      <w:pPr>
        <w:pStyle w:val="Default"/>
        <w:spacing w:before="120" w:after="120"/>
        <w:jc w:val="both"/>
        <w:rPr>
          <w:color w:val="auto"/>
        </w:rPr>
      </w:pPr>
      <w:r>
        <w:rPr>
          <w:rFonts w:eastAsia="Times New Roman"/>
          <w:lang w:eastAsia="lt-LT"/>
        </w:rPr>
        <w:t xml:space="preserve">12 priedas. </w:t>
      </w:r>
      <w:r w:rsidR="003573DA" w:rsidRPr="003573DA">
        <w:rPr>
          <w:rFonts w:eastAsia="Times New Roman"/>
          <w:lang w:eastAsia="lt-LT"/>
        </w:rPr>
        <w:t>Patikros ataskaitos forma</w:t>
      </w:r>
      <w:r>
        <w:rPr>
          <w:rFonts w:eastAsia="Times New Roman"/>
          <w:lang w:eastAsia="lt-LT"/>
        </w:rPr>
        <w:t>.</w:t>
      </w:r>
    </w:p>
    <w:p w14:paraId="3B0BC54C" w14:textId="77777777" w:rsidR="009C202C" w:rsidRPr="00FB1155" w:rsidRDefault="009C202C" w:rsidP="003C5155">
      <w:pPr>
        <w:pStyle w:val="Default"/>
        <w:spacing w:before="120" w:after="120"/>
        <w:jc w:val="both"/>
        <w:rPr>
          <w:color w:val="auto"/>
        </w:rPr>
      </w:pPr>
    </w:p>
    <w:p w14:paraId="1990CBD2" w14:textId="4D027B36" w:rsidR="006F40ED" w:rsidRPr="008347A2" w:rsidRDefault="006F40ED" w:rsidP="00354532">
      <w:pPr>
        <w:pStyle w:val="Default"/>
        <w:spacing w:before="120" w:after="120"/>
        <w:ind w:left="720"/>
        <w:jc w:val="center"/>
        <w:rPr>
          <w:color w:val="auto"/>
        </w:rPr>
      </w:pPr>
      <w:r w:rsidRPr="008347A2">
        <w:rPr>
          <w:color w:val="auto"/>
        </w:rPr>
        <w:t>___________</w:t>
      </w:r>
    </w:p>
    <w:sectPr w:rsidR="006F40ED" w:rsidRPr="008347A2" w:rsidSect="009C202C">
      <w:headerReference w:type="default" r:id="rId17"/>
      <w:footerReference w:type="default" r:id="rId18"/>
      <w:pgSz w:w="12240" w:h="15840"/>
      <w:pgMar w:top="2127" w:right="1041" w:bottom="993" w:left="1440" w:header="708"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9BF1" w14:textId="77777777" w:rsidR="00207520" w:rsidRDefault="00207520" w:rsidP="00FD05E3">
      <w:pPr>
        <w:spacing w:after="0" w:line="240" w:lineRule="auto"/>
      </w:pPr>
      <w:r>
        <w:separator/>
      </w:r>
    </w:p>
  </w:endnote>
  <w:endnote w:type="continuationSeparator" w:id="0">
    <w:p w14:paraId="00650E5E" w14:textId="77777777" w:rsidR="00207520" w:rsidRDefault="00207520" w:rsidP="00FD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64AE" w14:textId="772866B9" w:rsidR="00BA76E0" w:rsidRDefault="00BA76E0">
    <w:pPr>
      <w:pStyle w:val="Footer"/>
      <w:jc w:val="right"/>
    </w:pPr>
  </w:p>
  <w:p w14:paraId="61DE7426" w14:textId="77777777" w:rsidR="00BA76E0" w:rsidRDefault="00BA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2E30" w14:textId="77777777" w:rsidR="00207520" w:rsidRDefault="00207520" w:rsidP="00FD05E3">
      <w:pPr>
        <w:spacing w:after="0" w:line="240" w:lineRule="auto"/>
      </w:pPr>
      <w:r>
        <w:separator/>
      </w:r>
    </w:p>
  </w:footnote>
  <w:footnote w:type="continuationSeparator" w:id="0">
    <w:p w14:paraId="0FF3FA0B" w14:textId="77777777" w:rsidR="00207520" w:rsidRDefault="00207520" w:rsidP="00FD05E3">
      <w:pPr>
        <w:spacing w:after="0" w:line="240" w:lineRule="auto"/>
      </w:pPr>
      <w:r>
        <w:continuationSeparator/>
      </w:r>
    </w:p>
  </w:footnote>
  <w:footnote w:id="1">
    <w:p w14:paraId="1DBCBDF1" w14:textId="02F89D28" w:rsidR="00BA76E0" w:rsidRPr="00D104D9" w:rsidRDefault="00BA76E0" w:rsidP="008A263A">
      <w:pPr>
        <w:spacing w:line="276" w:lineRule="auto"/>
        <w:rPr>
          <w:rFonts w:ascii="Times New Roman" w:hAnsi="Times New Roman" w:cs="Times New Roman"/>
          <w:bCs/>
          <w:sz w:val="20"/>
          <w:szCs w:val="20"/>
          <w:lang w:val="lt-LT"/>
        </w:rPr>
      </w:pPr>
      <w:r>
        <w:rPr>
          <w:rStyle w:val="FootnoteReference"/>
        </w:rPr>
        <w:footnoteRef/>
      </w:r>
      <w:r w:rsidRPr="008A263A">
        <w:rPr>
          <w:lang w:val="lt-LT"/>
        </w:rPr>
        <w:t xml:space="preserve"> </w:t>
      </w:r>
      <w:r w:rsidRPr="00D104D9">
        <w:rPr>
          <w:rFonts w:ascii="Times New Roman" w:hAnsi="Times New Roman" w:cs="Times New Roman"/>
          <w:bCs/>
          <w:sz w:val="20"/>
          <w:szCs w:val="20"/>
          <w:lang w:val="lt-LT"/>
        </w:rPr>
        <w:t>Anykščių m</w:t>
      </w:r>
      <w:r>
        <w:rPr>
          <w:rFonts w:ascii="Times New Roman" w:hAnsi="Times New Roman" w:cs="Times New Roman"/>
          <w:bCs/>
          <w:sz w:val="20"/>
          <w:szCs w:val="20"/>
          <w:lang w:val="lt-LT"/>
        </w:rPr>
        <w:t>iesto</w:t>
      </w:r>
      <w:r w:rsidRPr="00D104D9">
        <w:rPr>
          <w:rFonts w:ascii="Times New Roman" w:hAnsi="Times New Roman" w:cs="Times New Roman"/>
          <w:bCs/>
          <w:sz w:val="20"/>
          <w:szCs w:val="20"/>
          <w:lang w:val="lt-LT"/>
        </w:rPr>
        <w:t xml:space="preserve"> VVG atstovaujami sektoriai:</w:t>
      </w:r>
    </w:p>
    <w:p w14:paraId="6CCF9213" w14:textId="77777777" w:rsidR="00BA76E0" w:rsidRPr="00D104D9" w:rsidRDefault="00BA76E0" w:rsidP="008A263A">
      <w:pPr>
        <w:numPr>
          <w:ilvl w:val="0"/>
          <w:numId w:val="37"/>
        </w:numPr>
        <w:spacing w:after="0" w:line="276" w:lineRule="auto"/>
        <w:jc w:val="both"/>
        <w:rPr>
          <w:rFonts w:ascii="Times New Roman" w:hAnsi="Times New Roman" w:cs="Times New Roman"/>
          <w:bCs/>
          <w:sz w:val="20"/>
          <w:szCs w:val="20"/>
          <w:lang w:val="lt-LT"/>
        </w:rPr>
      </w:pPr>
      <w:r w:rsidRPr="00D104D9">
        <w:rPr>
          <w:rFonts w:ascii="Times New Roman" w:hAnsi="Times New Roman" w:cs="Times New Roman"/>
          <w:bCs/>
          <w:sz w:val="20"/>
          <w:szCs w:val="20"/>
          <w:lang w:val="lt-LT"/>
        </w:rPr>
        <w:t>Verslo įmonės ir (ar) asocijuotos verslo struktūros;</w:t>
      </w:r>
    </w:p>
    <w:p w14:paraId="7223E6B3" w14:textId="77777777" w:rsidR="00BA76E0" w:rsidRPr="00D104D9" w:rsidRDefault="00BA76E0" w:rsidP="008A263A">
      <w:pPr>
        <w:numPr>
          <w:ilvl w:val="0"/>
          <w:numId w:val="37"/>
        </w:numPr>
        <w:spacing w:after="0" w:line="276" w:lineRule="auto"/>
        <w:jc w:val="both"/>
        <w:rPr>
          <w:rFonts w:ascii="Times New Roman" w:hAnsi="Times New Roman" w:cs="Times New Roman"/>
          <w:bCs/>
          <w:sz w:val="20"/>
          <w:szCs w:val="20"/>
          <w:lang w:val="lt-LT"/>
        </w:rPr>
      </w:pPr>
      <w:r w:rsidRPr="00D104D9">
        <w:rPr>
          <w:rFonts w:ascii="Times New Roman" w:hAnsi="Times New Roman" w:cs="Times New Roman"/>
          <w:bCs/>
          <w:sz w:val="20"/>
          <w:szCs w:val="20"/>
          <w:lang w:val="lt-LT"/>
        </w:rPr>
        <w:t>Bendruomeninės organizacijos ir (ar) vietos nevyriausybinės organizacijos</w:t>
      </w:r>
    </w:p>
    <w:p w14:paraId="66564E59" w14:textId="77777777" w:rsidR="00BA76E0" w:rsidRPr="00D104D9" w:rsidRDefault="00BA76E0" w:rsidP="008A263A">
      <w:pPr>
        <w:numPr>
          <w:ilvl w:val="0"/>
          <w:numId w:val="37"/>
        </w:numPr>
        <w:spacing w:after="0" w:line="276" w:lineRule="auto"/>
        <w:jc w:val="both"/>
        <w:rPr>
          <w:rFonts w:ascii="Times New Roman" w:hAnsi="Times New Roman" w:cs="Times New Roman"/>
          <w:sz w:val="20"/>
          <w:szCs w:val="20"/>
          <w:lang w:val="lt-LT"/>
        </w:rPr>
      </w:pPr>
      <w:r w:rsidRPr="00D104D9">
        <w:rPr>
          <w:rFonts w:ascii="Times New Roman" w:hAnsi="Times New Roman" w:cs="Times New Roman"/>
          <w:bCs/>
          <w:sz w:val="20"/>
          <w:szCs w:val="20"/>
          <w:lang w:val="lt-LT"/>
        </w:rPr>
        <w:t>Valdžia(savivaldybės taryba)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05" w:type="pct"/>
      <w:jc w:val="center"/>
      <w:tblBorders>
        <w:top w:val="dotted" w:sz="4" w:space="0" w:color="1F3864"/>
        <w:left w:val="dotted" w:sz="4" w:space="0" w:color="1F3864"/>
        <w:bottom w:val="dotted" w:sz="4" w:space="0" w:color="1F3864"/>
        <w:right w:val="dotted" w:sz="4" w:space="0" w:color="1F3864"/>
        <w:insideH w:val="dotted" w:sz="4" w:space="0" w:color="1F3864"/>
        <w:insideV w:val="dotted" w:sz="4" w:space="0" w:color="1F3864"/>
      </w:tblBorders>
      <w:tblCellMar>
        <w:top w:w="57" w:type="dxa"/>
        <w:bottom w:w="57" w:type="dxa"/>
      </w:tblCellMar>
      <w:tblLook w:val="01E0" w:firstRow="1" w:lastRow="1" w:firstColumn="1" w:lastColumn="1" w:noHBand="0" w:noVBand="0"/>
    </w:tblPr>
    <w:tblGrid>
      <w:gridCol w:w="2278"/>
      <w:gridCol w:w="6237"/>
      <w:gridCol w:w="1829"/>
    </w:tblGrid>
    <w:tr w:rsidR="00BA76E0" w:rsidRPr="00615A06" w14:paraId="3469C224" w14:textId="77777777" w:rsidTr="00126E7B">
      <w:trPr>
        <w:trHeight w:val="505"/>
        <w:jc w:val="center"/>
      </w:trPr>
      <w:tc>
        <w:tcPr>
          <w:tcW w:w="1101" w:type="pct"/>
          <w:vAlign w:val="center"/>
        </w:tcPr>
        <w:p w14:paraId="4327FE40" w14:textId="77777777" w:rsidR="00BA76E0" w:rsidRPr="00126E7B" w:rsidRDefault="00BA76E0" w:rsidP="00126E7B">
          <w:pPr>
            <w:jc w:val="center"/>
            <w:rPr>
              <w:rFonts w:ascii="Times New Roman" w:hAnsi="Times New Roman" w:cs="Times New Roman"/>
              <w:sz w:val="20"/>
              <w:szCs w:val="20"/>
            </w:rPr>
          </w:pPr>
          <w:r w:rsidRPr="00126E7B">
            <w:rPr>
              <w:rFonts w:ascii="Times New Roman" w:hAnsi="Times New Roman" w:cs="Times New Roman"/>
              <w:sz w:val="20"/>
              <w:szCs w:val="20"/>
            </w:rPr>
            <w:t xml:space="preserve">Anykščių </w:t>
          </w:r>
          <w:r w:rsidRPr="00126E7B">
            <w:rPr>
              <w:rFonts w:ascii="Times New Roman" w:hAnsi="Times New Roman" w:cs="Times New Roman"/>
              <w:sz w:val="20"/>
              <w:szCs w:val="20"/>
              <w:lang w:val="lt-LT"/>
            </w:rPr>
            <w:t>miesto</w:t>
          </w:r>
          <w:r w:rsidRPr="00126E7B">
            <w:rPr>
              <w:rFonts w:ascii="Times New Roman" w:hAnsi="Times New Roman" w:cs="Times New Roman"/>
              <w:sz w:val="20"/>
              <w:szCs w:val="20"/>
            </w:rPr>
            <w:t xml:space="preserve"> VVG</w:t>
          </w:r>
        </w:p>
      </w:tc>
      <w:tc>
        <w:tcPr>
          <w:tcW w:w="3015" w:type="pct"/>
          <w:vAlign w:val="center"/>
        </w:tcPr>
        <w:p w14:paraId="7051AB66" w14:textId="77777777" w:rsidR="00BA76E0" w:rsidRPr="00126E7B" w:rsidRDefault="00BA76E0" w:rsidP="00126E7B">
          <w:pPr>
            <w:pStyle w:val="Header"/>
            <w:jc w:val="center"/>
            <w:rPr>
              <w:rFonts w:ascii="Times New Roman" w:hAnsi="Times New Roman"/>
              <w:sz w:val="20"/>
              <w:szCs w:val="20"/>
              <w:highlight w:val="yellow"/>
            </w:rPr>
          </w:pPr>
          <w:r w:rsidRPr="00126E7B">
            <w:rPr>
              <w:rFonts w:ascii="Times New Roman" w:hAnsi="Times New Roman"/>
              <w:sz w:val="20"/>
              <w:szCs w:val="20"/>
            </w:rPr>
            <w:t>Anykščių miesto 2016-2020 m. Vietos plėtros strategijos įgyvendinimo vidaus tvarkos aprašas</w:t>
          </w:r>
        </w:p>
      </w:tc>
      <w:tc>
        <w:tcPr>
          <w:tcW w:w="884" w:type="pct"/>
          <w:vAlign w:val="center"/>
        </w:tcPr>
        <w:p w14:paraId="08295335" w14:textId="77777777" w:rsidR="00BA76E0" w:rsidRPr="00126E7B" w:rsidRDefault="00BA76E0" w:rsidP="00126E7B">
          <w:pPr>
            <w:rPr>
              <w:rFonts w:ascii="Times New Roman" w:hAnsi="Times New Roman" w:cs="Times New Roman"/>
              <w:sz w:val="20"/>
              <w:szCs w:val="20"/>
              <w:lang w:val="lt-LT"/>
            </w:rPr>
          </w:pPr>
          <w:r w:rsidRPr="00126E7B">
            <w:rPr>
              <w:rFonts w:ascii="Times New Roman" w:hAnsi="Times New Roman" w:cs="Times New Roman"/>
              <w:sz w:val="20"/>
              <w:szCs w:val="20"/>
              <w:lang w:val="lt-LT"/>
            </w:rPr>
            <w:fldChar w:fldCharType="begin"/>
          </w:r>
          <w:r w:rsidRPr="00126E7B">
            <w:rPr>
              <w:rFonts w:ascii="Times New Roman" w:hAnsi="Times New Roman" w:cs="Times New Roman"/>
              <w:sz w:val="20"/>
              <w:szCs w:val="20"/>
              <w:lang w:val="lt-LT"/>
            </w:rPr>
            <w:instrText xml:space="preserve"> PAGE  \* Arabic </w:instrText>
          </w:r>
          <w:r w:rsidRPr="00126E7B">
            <w:rPr>
              <w:rFonts w:ascii="Times New Roman" w:hAnsi="Times New Roman" w:cs="Times New Roman"/>
              <w:sz w:val="20"/>
              <w:szCs w:val="20"/>
              <w:lang w:val="lt-LT"/>
            </w:rPr>
            <w:fldChar w:fldCharType="separate"/>
          </w:r>
          <w:r w:rsidR="00C5054D">
            <w:rPr>
              <w:rFonts w:ascii="Times New Roman" w:hAnsi="Times New Roman" w:cs="Times New Roman"/>
              <w:noProof/>
              <w:sz w:val="20"/>
              <w:szCs w:val="20"/>
              <w:lang w:val="lt-LT"/>
            </w:rPr>
            <w:t>20</w:t>
          </w:r>
          <w:r w:rsidRPr="00126E7B">
            <w:rPr>
              <w:rFonts w:ascii="Times New Roman" w:hAnsi="Times New Roman" w:cs="Times New Roman"/>
              <w:sz w:val="20"/>
              <w:szCs w:val="20"/>
              <w:lang w:val="lt-LT"/>
            </w:rPr>
            <w:fldChar w:fldCharType="end"/>
          </w:r>
          <w:r w:rsidRPr="00126E7B">
            <w:rPr>
              <w:rFonts w:ascii="Times New Roman" w:hAnsi="Times New Roman" w:cs="Times New Roman"/>
              <w:sz w:val="20"/>
              <w:szCs w:val="20"/>
              <w:lang w:val="lt-LT"/>
            </w:rPr>
            <w:t xml:space="preserve"> lapas iš </w:t>
          </w:r>
          <w:r w:rsidRPr="00126E7B">
            <w:rPr>
              <w:rFonts w:ascii="Times New Roman" w:hAnsi="Times New Roman" w:cs="Times New Roman"/>
              <w:sz w:val="20"/>
              <w:szCs w:val="20"/>
              <w:lang w:val="lt-LT"/>
            </w:rPr>
            <w:fldChar w:fldCharType="begin"/>
          </w:r>
          <w:r w:rsidRPr="00126E7B">
            <w:rPr>
              <w:rFonts w:ascii="Times New Roman" w:hAnsi="Times New Roman" w:cs="Times New Roman"/>
              <w:sz w:val="20"/>
              <w:szCs w:val="20"/>
              <w:lang w:val="lt-LT"/>
            </w:rPr>
            <w:instrText xml:space="preserve"> NUMPAGES  \* Arabic </w:instrText>
          </w:r>
          <w:r w:rsidRPr="00126E7B">
            <w:rPr>
              <w:rFonts w:ascii="Times New Roman" w:hAnsi="Times New Roman" w:cs="Times New Roman"/>
              <w:sz w:val="20"/>
              <w:szCs w:val="20"/>
              <w:lang w:val="lt-LT"/>
            </w:rPr>
            <w:fldChar w:fldCharType="separate"/>
          </w:r>
          <w:r w:rsidR="00C5054D">
            <w:rPr>
              <w:rFonts w:ascii="Times New Roman" w:hAnsi="Times New Roman" w:cs="Times New Roman"/>
              <w:noProof/>
              <w:sz w:val="20"/>
              <w:szCs w:val="20"/>
              <w:lang w:val="lt-LT"/>
            </w:rPr>
            <w:t>26</w:t>
          </w:r>
          <w:r w:rsidRPr="00126E7B">
            <w:rPr>
              <w:rFonts w:ascii="Times New Roman" w:hAnsi="Times New Roman" w:cs="Times New Roman"/>
              <w:sz w:val="20"/>
              <w:szCs w:val="20"/>
              <w:lang w:val="lt-LT"/>
            </w:rPr>
            <w:fldChar w:fldCharType="end"/>
          </w:r>
        </w:p>
      </w:tc>
    </w:tr>
  </w:tbl>
  <w:p w14:paraId="24DAD684" w14:textId="77777777" w:rsidR="00BA76E0" w:rsidRDefault="00BA7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1E2131"/>
    <w:multiLevelType w:val="hybridMultilevel"/>
    <w:tmpl w:val="67B72E4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52924"/>
    <w:multiLevelType w:val="hybridMultilevel"/>
    <w:tmpl w:val="F3F822D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F21F07"/>
    <w:multiLevelType w:val="hybridMultilevel"/>
    <w:tmpl w:val="F678E466"/>
    <w:lvl w:ilvl="0" w:tplc="04090013">
      <w:start w:val="1"/>
      <w:numFmt w:val="upperRoman"/>
      <w:lvlText w:val="%1."/>
      <w:lvlJc w:val="righ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44C4D0D"/>
    <w:multiLevelType w:val="multilevel"/>
    <w:tmpl w:val="58B80F86"/>
    <w:lvl w:ilvl="0">
      <w:start w:val="1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7AC7AC"/>
    <w:multiLevelType w:val="hybridMultilevel"/>
    <w:tmpl w:val="5DF432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F63D82"/>
    <w:multiLevelType w:val="hybridMultilevel"/>
    <w:tmpl w:val="E16EF7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065A2D"/>
    <w:multiLevelType w:val="multilevel"/>
    <w:tmpl w:val="6CAC862E"/>
    <w:lvl w:ilvl="0">
      <w:start w:val="4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6E6F09"/>
    <w:multiLevelType w:val="hybridMultilevel"/>
    <w:tmpl w:val="1BD2C85C"/>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973975"/>
    <w:multiLevelType w:val="hybridMultilevel"/>
    <w:tmpl w:val="70B8CD5A"/>
    <w:lvl w:ilvl="0" w:tplc="0409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6DD2778"/>
    <w:multiLevelType w:val="multilevel"/>
    <w:tmpl w:val="CFF44E30"/>
    <w:lvl w:ilvl="0">
      <w:start w:val="6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8E06FD"/>
    <w:multiLevelType w:val="multilevel"/>
    <w:tmpl w:val="8D1AB096"/>
    <w:lvl w:ilvl="0">
      <w:start w:val="2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EB1027"/>
    <w:multiLevelType w:val="multilevel"/>
    <w:tmpl w:val="96D87ACE"/>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61077B"/>
    <w:multiLevelType w:val="multilevel"/>
    <w:tmpl w:val="35E4D9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00B2"/>
    <w:multiLevelType w:val="multilevel"/>
    <w:tmpl w:val="DBB681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3D7154F"/>
    <w:multiLevelType w:val="hybridMultilevel"/>
    <w:tmpl w:val="5E4BE4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F5D5D3A"/>
    <w:multiLevelType w:val="multilevel"/>
    <w:tmpl w:val="8CD4143C"/>
    <w:lvl w:ilvl="0">
      <w:start w:val="1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C50C06"/>
    <w:multiLevelType w:val="multilevel"/>
    <w:tmpl w:val="E4C045E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110266F"/>
    <w:multiLevelType w:val="multilevel"/>
    <w:tmpl w:val="38F096E6"/>
    <w:lvl w:ilvl="0">
      <w:start w:val="3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482440B"/>
    <w:multiLevelType w:val="multilevel"/>
    <w:tmpl w:val="438006C0"/>
    <w:lvl w:ilvl="0">
      <w:start w:val="1"/>
      <w:numFmt w:val="upperRoman"/>
      <w:pStyle w:val="Heading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D4132F"/>
    <w:multiLevelType w:val="multilevel"/>
    <w:tmpl w:val="39EA3B0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57C3044"/>
    <w:multiLevelType w:val="hybridMultilevel"/>
    <w:tmpl w:val="ADD65E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5D1711B"/>
    <w:multiLevelType w:val="multilevel"/>
    <w:tmpl w:val="BB506D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9AF2515"/>
    <w:multiLevelType w:val="multilevel"/>
    <w:tmpl w:val="C3CC085A"/>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9C7B576"/>
    <w:multiLevelType w:val="hybridMultilevel"/>
    <w:tmpl w:val="F5E53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EA789AB"/>
    <w:multiLevelType w:val="hybridMultilevel"/>
    <w:tmpl w:val="5DAAB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E80CA7"/>
    <w:multiLevelType w:val="multilevel"/>
    <w:tmpl w:val="0860851C"/>
    <w:lvl w:ilvl="0">
      <w:start w:val="2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7426B15"/>
    <w:multiLevelType w:val="multilevel"/>
    <w:tmpl w:val="83EC8C62"/>
    <w:lvl w:ilvl="0">
      <w:start w:val="1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81B6BCD"/>
    <w:multiLevelType w:val="multilevel"/>
    <w:tmpl w:val="AA38C470"/>
    <w:lvl w:ilvl="0">
      <w:start w:val="4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2370FE"/>
    <w:multiLevelType w:val="multilevel"/>
    <w:tmpl w:val="0A2C7B3A"/>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D3C2F5C"/>
    <w:multiLevelType w:val="multilevel"/>
    <w:tmpl w:val="ECCAB9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D5D2BA6"/>
    <w:multiLevelType w:val="multilevel"/>
    <w:tmpl w:val="60F04716"/>
    <w:lvl w:ilvl="0">
      <w:start w:val="4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E804CF9"/>
    <w:multiLevelType w:val="multilevel"/>
    <w:tmpl w:val="4560D73A"/>
    <w:lvl w:ilvl="0">
      <w:start w:val="5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E832A3F"/>
    <w:multiLevelType w:val="multilevel"/>
    <w:tmpl w:val="BA9A49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24"/>
  </w:num>
  <w:num w:numId="4">
    <w:abstractNumId w:val="23"/>
  </w:num>
  <w:num w:numId="5">
    <w:abstractNumId w:val="4"/>
  </w:num>
  <w:num w:numId="6">
    <w:abstractNumId w:val="1"/>
  </w:num>
  <w:num w:numId="7">
    <w:abstractNumId w:val="8"/>
  </w:num>
  <w:num w:numId="8">
    <w:abstractNumId w:val="19"/>
  </w:num>
  <w:num w:numId="9">
    <w:abstractNumId w:val="21"/>
  </w:num>
  <w:num w:numId="10">
    <w:abstractNumId w:val="12"/>
  </w:num>
  <w:num w:numId="11">
    <w:abstractNumId w:val="13"/>
  </w:num>
  <w:num w:numId="12">
    <w:abstractNumId w:val="32"/>
  </w:num>
  <w:num w:numId="13">
    <w:abstractNumId w:val="16"/>
  </w:num>
  <w:num w:numId="14">
    <w:abstractNumId w:val="22"/>
  </w:num>
  <w:num w:numId="15">
    <w:abstractNumId w:val="26"/>
  </w:num>
  <w:num w:numId="16">
    <w:abstractNumId w:val="3"/>
  </w:num>
  <w:num w:numId="17">
    <w:abstractNumId w:val="28"/>
  </w:num>
  <w:num w:numId="18">
    <w:abstractNumId w:val="25"/>
  </w:num>
  <w:num w:numId="19">
    <w:abstractNumId w:val="10"/>
  </w:num>
  <w:num w:numId="20">
    <w:abstractNumId w:val="15"/>
  </w:num>
  <w:num w:numId="21">
    <w:abstractNumId w:val="11"/>
  </w:num>
  <w:num w:numId="22">
    <w:abstractNumId w:val="17"/>
  </w:num>
  <w:num w:numId="23">
    <w:abstractNumId w:val="6"/>
  </w:num>
  <w:num w:numId="24">
    <w:abstractNumId w:val="27"/>
  </w:num>
  <w:num w:numId="25">
    <w:abstractNumId w:val="30"/>
  </w:num>
  <w:num w:numId="26">
    <w:abstractNumId w:val="31"/>
  </w:num>
  <w:num w:numId="27">
    <w:abstractNumId w:val="9"/>
  </w:num>
  <w:num w:numId="28">
    <w:abstractNumId w:val="2"/>
  </w:num>
  <w:num w:numId="29">
    <w:abstractNumId w:val="18"/>
  </w:num>
  <w:num w:numId="30">
    <w:abstractNumId w:val="18"/>
  </w:num>
  <w:num w:numId="31">
    <w:abstractNumId w:val="20"/>
  </w:num>
  <w:num w:numId="32">
    <w:abstractNumId w:val="18"/>
  </w:num>
  <w:num w:numId="33">
    <w:abstractNumId w:val="18"/>
  </w:num>
  <w:num w:numId="34">
    <w:abstractNumId w:val="18"/>
  </w:num>
  <w:num w:numId="35">
    <w:abstractNumId w:val="7"/>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72"/>
    <w:rsid w:val="00000591"/>
    <w:rsid w:val="00001358"/>
    <w:rsid w:val="0000175A"/>
    <w:rsid w:val="00003473"/>
    <w:rsid w:val="0000451A"/>
    <w:rsid w:val="00010D02"/>
    <w:rsid w:val="000126B9"/>
    <w:rsid w:val="00015238"/>
    <w:rsid w:val="000153F3"/>
    <w:rsid w:val="00015E6C"/>
    <w:rsid w:val="000175D1"/>
    <w:rsid w:val="00020CC0"/>
    <w:rsid w:val="00020F5A"/>
    <w:rsid w:val="00022442"/>
    <w:rsid w:val="00022ED0"/>
    <w:rsid w:val="00022FDE"/>
    <w:rsid w:val="0002665C"/>
    <w:rsid w:val="00026835"/>
    <w:rsid w:val="000324BD"/>
    <w:rsid w:val="00032DE1"/>
    <w:rsid w:val="000337CB"/>
    <w:rsid w:val="00033ABE"/>
    <w:rsid w:val="00033EF8"/>
    <w:rsid w:val="00034C10"/>
    <w:rsid w:val="00035E6C"/>
    <w:rsid w:val="00035FE7"/>
    <w:rsid w:val="0004077F"/>
    <w:rsid w:val="00043777"/>
    <w:rsid w:val="000439B4"/>
    <w:rsid w:val="00044B04"/>
    <w:rsid w:val="0004540C"/>
    <w:rsid w:val="000456C0"/>
    <w:rsid w:val="000459BC"/>
    <w:rsid w:val="00045C44"/>
    <w:rsid w:val="000501B9"/>
    <w:rsid w:val="00050B2D"/>
    <w:rsid w:val="00050DDA"/>
    <w:rsid w:val="00051474"/>
    <w:rsid w:val="00051608"/>
    <w:rsid w:val="00052B93"/>
    <w:rsid w:val="00053FF1"/>
    <w:rsid w:val="000548E5"/>
    <w:rsid w:val="00055AF6"/>
    <w:rsid w:val="000569E2"/>
    <w:rsid w:val="00057A2D"/>
    <w:rsid w:val="00061C14"/>
    <w:rsid w:val="00061E94"/>
    <w:rsid w:val="00061F5B"/>
    <w:rsid w:val="000631E2"/>
    <w:rsid w:val="0006329B"/>
    <w:rsid w:val="00063500"/>
    <w:rsid w:val="00064BC4"/>
    <w:rsid w:val="00065B56"/>
    <w:rsid w:val="000675E3"/>
    <w:rsid w:val="0006768D"/>
    <w:rsid w:val="000677A2"/>
    <w:rsid w:val="00067B94"/>
    <w:rsid w:val="00067EDB"/>
    <w:rsid w:val="00073058"/>
    <w:rsid w:val="00074FDC"/>
    <w:rsid w:val="00077C81"/>
    <w:rsid w:val="00080148"/>
    <w:rsid w:val="00080304"/>
    <w:rsid w:val="00082348"/>
    <w:rsid w:val="00082838"/>
    <w:rsid w:val="00086F56"/>
    <w:rsid w:val="00091494"/>
    <w:rsid w:val="00092C16"/>
    <w:rsid w:val="00094F1E"/>
    <w:rsid w:val="00095161"/>
    <w:rsid w:val="000954E7"/>
    <w:rsid w:val="000A0124"/>
    <w:rsid w:val="000A045F"/>
    <w:rsid w:val="000A1409"/>
    <w:rsid w:val="000A2145"/>
    <w:rsid w:val="000A420D"/>
    <w:rsid w:val="000A4B8B"/>
    <w:rsid w:val="000A50BA"/>
    <w:rsid w:val="000A554D"/>
    <w:rsid w:val="000A69D5"/>
    <w:rsid w:val="000B08A9"/>
    <w:rsid w:val="000B0ED5"/>
    <w:rsid w:val="000B131B"/>
    <w:rsid w:val="000B2816"/>
    <w:rsid w:val="000B3F89"/>
    <w:rsid w:val="000B4FB9"/>
    <w:rsid w:val="000B6480"/>
    <w:rsid w:val="000B6AE9"/>
    <w:rsid w:val="000C1D2D"/>
    <w:rsid w:val="000C44BB"/>
    <w:rsid w:val="000C5446"/>
    <w:rsid w:val="000C7A2E"/>
    <w:rsid w:val="000D03B6"/>
    <w:rsid w:val="000D1B77"/>
    <w:rsid w:val="000D364C"/>
    <w:rsid w:val="000D65A2"/>
    <w:rsid w:val="000D70CE"/>
    <w:rsid w:val="000D7114"/>
    <w:rsid w:val="000D75BD"/>
    <w:rsid w:val="000D7B68"/>
    <w:rsid w:val="000E0286"/>
    <w:rsid w:val="000E1377"/>
    <w:rsid w:val="000E30B1"/>
    <w:rsid w:val="000E3789"/>
    <w:rsid w:val="000E4377"/>
    <w:rsid w:val="000E49BD"/>
    <w:rsid w:val="000E7136"/>
    <w:rsid w:val="000F098B"/>
    <w:rsid w:val="000F2073"/>
    <w:rsid w:val="000F5242"/>
    <w:rsid w:val="000F7856"/>
    <w:rsid w:val="001009D8"/>
    <w:rsid w:val="00102C41"/>
    <w:rsid w:val="00102E16"/>
    <w:rsid w:val="001038AA"/>
    <w:rsid w:val="00103EE7"/>
    <w:rsid w:val="00105464"/>
    <w:rsid w:val="00105ECC"/>
    <w:rsid w:val="00106AFE"/>
    <w:rsid w:val="001070F4"/>
    <w:rsid w:val="00111AF9"/>
    <w:rsid w:val="00113669"/>
    <w:rsid w:val="00113DB3"/>
    <w:rsid w:val="00115B9B"/>
    <w:rsid w:val="00116657"/>
    <w:rsid w:val="001209C6"/>
    <w:rsid w:val="001220EA"/>
    <w:rsid w:val="001233BB"/>
    <w:rsid w:val="0012697D"/>
    <w:rsid w:val="00126E7B"/>
    <w:rsid w:val="001271FC"/>
    <w:rsid w:val="00130CBD"/>
    <w:rsid w:val="0013276E"/>
    <w:rsid w:val="00133303"/>
    <w:rsid w:val="001333D8"/>
    <w:rsid w:val="0013366E"/>
    <w:rsid w:val="00136BF5"/>
    <w:rsid w:val="0013717E"/>
    <w:rsid w:val="001402BF"/>
    <w:rsid w:val="0014213B"/>
    <w:rsid w:val="00143D0C"/>
    <w:rsid w:val="001453EC"/>
    <w:rsid w:val="00150588"/>
    <w:rsid w:val="001509D4"/>
    <w:rsid w:val="00150D05"/>
    <w:rsid w:val="00150F61"/>
    <w:rsid w:val="00151E69"/>
    <w:rsid w:val="00152956"/>
    <w:rsid w:val="00153E1F"/>
    <w:rsid w:val="00154573"/>
    <w:rsid w:val="0015465B"/>
    <w:rsid w:val="00154CB5"/>
    <w:rsid w:val="0015722F"/>
    <w:rsid w:val="00157688"/>
    <w:rsid w:val="00160973"/>
    <w:rsid w:val="0016106B"/>
    <w:rsid w:val="001645A2"/>
    <w:rsid w:val="0016661A"/>
    <w:rsid w:val="001671EA"/>
    <w:rsid w:val="0017099D"/>
    <w:rsid w:val="00170A3E"/>
    <w:rsid w:val="001715D8"/>
    <w:rsid w:val="00172C07"/>
    <w:rsid w:val="0017469F"/>
    <w:rsid w:val="00176A1D"/>
    <w:rsid w:val="00176C26"/>
    <w:rsid w:val="00176D2F"/>
    <w:rsid w:val="00177A3F"/>
    <w:rsid w:val="00182C4C"/>
    <w:rsid w:val="001863DD"/>
    <w:rsid w:val="001874DD"/>
    <w:rsid w:val="001941C8"/>
    <w:rsid w:val="0019546F"/>
    <w:rsid w:val="00195A2B"/>
    <w:rsid w:val="001A0428"/>
    <w:rsid w:val="001A2F5E"/>
    <w:rsid w:val="001A5A4B"/>
    <w:rsid w:val="001B141D"/>
    <w:rsid w:val="001B262F"/>
    <w:rsid w:val="001B33A1"/>
    <w:rsid w:val="001B5830"/>
    <w:rsid w:val="001B5B52"/>
    <w:rsid w:val="001B6C12"/>
    <w:rsid w:val="001B7041"/>
    <w:rsid w:val="001B795F"/>
    <w:rsid w:val="001C23DD"/>
    <w:rsid w:val="001C6F80"/>
    <w:rsid w:val="001C7D6B"/>
    <w:rsid w:val="001D26F8"/>
    <w:rsid w:val="001D2FB6"/>
    <w:rsid w:val="001D3D72"/>
    <w:rsid w:val="001D4643"/>
    <w:rsid w:val="001E0C1F"/>
    <w:rsid w:val="001E20BD"/>
    <w:rsid w:val="001E4AB3"/>
    <w:rsid w:val="001E5070"/>
    <w:rsid w:val="001E726F"/>
    <w:rsid w:val="001E787A"/>
    <w:rsid w:val="001F2403"/>
    <w:rsid w:val="001F3DE5"/>
    <w:rsid w:val="001F5FAF"/>
    <w:rsid w:val="001F615E"/>
    <w:rsid w:val="001F6833"/>
    <w:rsid w:val="001F683C"/>
    <w:rsid w:val="001F6D1B"/>
    <w:rsid w:val="00204508"/>
    <w:rsid w:val="00204ACB"/>
    <w:rsid w:val="0020744C"/>
    <w:rsid w:val="00207520"/>
    <w:rsid w:val="00210432"/>
    <w:rsid w:val="00211E31"/>
    <w:rsid w:val="002137AD"/>
    <w:rsid w:val="00214635"/>
    <w:rsid w:val="00217A26"/>
    <w:rsid w:val="002202D8"/>
    <w:rsid w:val="002205E9"/>
    <w:rsid w:val="00222045"/>
    <w:rsid w:val="00222334"/>
    <w:rsid w:val="002233C7"/>
    <w:rsid w:val="00225A9F"/>
    <w:rsid w:val="00225E7D"/>
    <w:rsid w:val="0022782E"/>
    <w:rsid w:val="00227F86"/>
    <w:rsid w:val="0023346B"/>
    <w:rsid w:val="00235DCE"/>
    <w:rsid w:val="002370FA"/>
    <w:rsid w:val="00237839"/>
    <w:rsid w:val="002418C5"/>
    <w:rsid w:val="00244E70"/>
    <w:rsid w:val="0025053D"/>
    <w:rsid w:val="0025223F"/>
    <w:rsid w:val="002547F3"/>
    <w:rsid w:val="002551FB"/>
    <w:rsid w:val="00256A1D"/>
    <w:rsid w:val="0025751A"/>
    <w:rsid w:val="002602C4"/>
    <w:rsid w:val="00261E8A"/>
    <w:rsid w:val="0026289D"/>
    <w:rsid w:val="00262F14"/>
    <w:rsid w:val="00262F1C"/>
    <w:rsid w:val="002636D3"/>
    <w:rsid w:val="0026396C"/>
    <w:rsid w:val="00264AE2"/>
    <w:rsid w:val="00265434"/>
    <w:rsid w:val="00265A9A"/>
    <w:rsid w:val="00267F9B"/>
    <w:rsid w:val="00270FE9"/>
    <w:rsid w:val="00272AF4"/>
    <w:rsid w:val="00272BD7"/>
    <w:rsid w:val="00273EF7"/>
    <w:rsid w:val="002744D6"/>
    <w:rsid w:val="00275D68"/>
    <w:rsid w:val="00277109"/>
    <w:rsid w:val="002778A5"/>
    <w:rsid w:val="00281D32"/>
    <w:rsid w:val="002822E3"/>
    <w:rsid w:val="00282DE9"/>
    <w:rsid w:val="002833F7"/>
    <w:rsid w:val="00283C4E"/>
    <w:rsid w:val="002855AA"/>
    <w:rsid w:val="00285C78"/>
    <w:rsid w:val="0028771F"/>
    <w:rsid w:val="00287DFF"/>
    <w:rsid w:val="0029017C"/>
    <w:rsid w:val="0029155A"/>
    <w:rsid w:val="00291BA9"/>
    <w:rsid w:val="00293B16"/>
    <w:rsid w:val="0029435B"/>
    <w:rsid w:val="0029613F"/>
    <w:rsid w:val="0029712F"/>
    <w:rsid w:val="002975B2"/>
    <w:rsid w:val="0029779A"/>
    <w:rsid w:val="00297F89"/>
    <w:rsid w:val="002A2DE3"/>
    <w:rsid w:val="002A3481"/>
    <w:rsid w:val="002A6AB6"/>
    <w:rsid w:val="002A7173"/>
    <w:rsid w:val="002B07CD"/>
    <w:rsid w:val="002B1EF1"/>
    <w:rsid w:val="002B4875"/>
    <w:rsid w:val="002B672D"/>
    <w:rsid w:val="002B7E60"/>
    <w:rsid w:val="002C0390"/>
    <w:rsid w:val="002C134C"/>
    <w:rsid w:val="002C67D5"/>
    <w:rsid w:val="002C6D90"/>
    <w:rsid w:val="002D0A49"/>
    <w:rsid w:val="002D1952"/>
    <w:rsid w:val="002D36FE"/>
    <w:rsid w:val="002D5406"/>
    <w:rsid w:val="002D62D3"/>
    <w:rsid w:val="002D791F"/>
    <w:rsid w:val="002E15C5"/>
    <w:rsid w:val="002E16F8"/>
    <w:rsid w:val="002E29FB"/>
    <w:rsid w:val="002E6CFB"/>
    <w:rsid w:val="002E7694"/>
    <w:rsid w:val="002F5811"/>
    <w:rsid w:val="002F7CE1"/>
    <w:rsid w:val="003001EE"/>
    <w:rsid w:val="003022B0"/>
    <w:rsid w:val="003022C0"/>
    <w:rsid w:val="003031F4"/>
    <w:rsid w:val="003041D9"/>
    <w:rsid w:val="00304831"/>
    <w:rsid w:val="0030516C"/>
    <w:rsid w:val="0030657C"/>
    <w:rsid w:val="00307E41"/>
    <w:rsid w:val="00310046"/>
    <w:rsid w:val="00313DC6"/>
    <w:rsid w:val="00314607"/>
    <w:rsid w:val="00315692"/>
    <w:rsid w:val="003158F4"/>
    <w:rsid w:val="00315D9E"/>
    <w:rsid w:val="00317297"/>
    <w:rsid w:val="00317792"/>
    <w:rsid w:val="00317D15"/>
    <w:rsid w:val="00320B3C"/>
    <w:rsid w:val="003213ED"/>
    <w:rsid w:val="0032178D"/>
    <w:rsid w:val="00323AE7"/>
    <w:rsid w:val="00323D19"/>
    <w:rsid w:val="00323D8E"/>
    <w:rsid w:val="00324C60"/>
    <w:rsid w:val="00325686"/>
    <w:rsid w:val="00330DDF"/>
    <w:rsid w:val="00336442"/>
    <w:rsid w:val="003376E8"/>
    <w:rsid w:val="00337951"/>
    <w:rsid w:val="0034273A"/>
    <w:rsid w:val="00343CBB"/>
    <w:rsid w:val="00346E12"/>
    <w:rsid w:val="003518D6"/>
    <w:rsid w:val="003527D5"/>
    <w:rsid w:val="00352BB6"/>
    <w:rsid w:val="00354532"/>
    <w:rsid w:val="003557FE"/>
    <w:rsid w:val="003573DA"/>
    <w:rsid w:val="00360377"/>
    <w:rsid w:val="00364772"/>
    <w:rsid w:val="0036486F"/>
    <w:rsid w:val="00370997"/>
    <w:rsid w:val="0037579E"/>
    <w:rsid w:val="00375997"/>
    <w:rsid w:val="00377C5B"/>
    <w:rsid w:val="0038339C"/>
    <w:rsid w:val="003841FB"/>
    <w:rsid w:val="00384AFF"/>
    <w:rsid w:val="00384F8F"/>
    <w:rsid w:val="0038534B"/>
    <w:rsid w:val="00385D78"/>
    <w:rsid w:val="00387CF8"/>
    <w:rsid w:val="00387F58"/>
    <w:rsid w:val="003910F5"/>
    <w:rsid w:val="003911BA"/>
    <w:rsid w:val="00392A67"/>
    <w:rsid w:val="00392A82"/>
    <w:rsid w:val="00396073"/>
    <w:rsid w:val="003968E9"/>
    <w:rsid w:val="003974F5"/>
    <w:rsid w:val="003A2958"/>
    <w:rsid w:val="003A2F98"/>
    <w:rsid w:val="003A3AC6"/>
    <w:rsid w:val="003A62CF"/>
    <w:rsid w:val="003A7937"/>
    <w:rsid w:val="003B0A95"/>
    <w:rsid w:val="003B122D"/>
    <w:rsid w:val="003B1F52"/>
    <w:rsid w:val="003B22CA"/>
    <w:rsid w:val="003B2F14"/>
    <w:rsid w:val="003B3C20"/>
    <w:rsid w:val="003C1CA6"/>
    <w:rsid w:val="003C36E0"/>
    <w:rsid w:val="003C5155"/>
    <w:rsid w:val="003C5DBD"/>
    <w:rsid w:val="003C6797"/>
    <w:rsid w:val="003D066E"/>
    <w:rsid w:val="003D351A"/>
    <w:rsid w:val="003D39A8"/>
    <w:rsid w:val="003D4C9F"/>
    <w:rsid w:val="003D53C2"/>
    <w:rsid w:val="003D7E4E"/>
    <w:rsid w:val="003E0074"/>
    <w:rsid w:val="003E3DF0"/>
    <w:rsid w:val="003E654D"/>
    <w:rsid w:val="003F0E7B"/>
    <w:rsid w:val="003F4275"/>
    <w:rsid w:val="003F4FAF"/>
    <w:rsid w:val="003F57CE"/>
    <w:rsid w:val="00400325"/>
    <w:rsid w:val="00400F0A"/>
    <w:rsid w:val="0040101E"/>
    <w:rsid w:val="00401A10"/>
    <w:rsid w:val="004025A5"/>
    <w:rsid w:val="0040296B"/>
    <w:rsid w:val="00402BDB"/>
    <w:rsid w:val="0040473E"/>
    <w:rsid w:val="00405E98"/>
    <w:rsid w:val="0040648D"/>
    <w:rsid w:val="00406F45"/>
    <w:rsid w:val="0040703E"/>
    <w:rsid w:val="00411042"/>
    <w:rsid w:val="00413BCC"/>
    <w:rsid w:val="004145BC"/>
    <w:rsid w:val="004151C1"/>
    <w:rsid w:val="004201AE"/>
    <w:rsid w:val="00420CCD"/>
    <w:rsid w:val="00421EC2"/>
    <w:rsid w:val="00422E69"/>
    <w:rsid w:val="004234FC"/>
    <w:rsid w:val="00423C69"/>
    <w:rsid w:val="00424024"/>
    <w:rsid w:val="00426843"/>
    <w:rsid w:val="00431301"/>
    <w:rsid w:val="00432742"/>
    <w:rsid w:val="00433383"/>
    <w:rsid w:val="0043377C"/>
    <w:rsid w:val="00434244"/>
    <w:rsid w:val="00434398"/>
    <w:rsid w:val="00434634"/>
    <w:rsid w:val="00435E38"/>
    <w:rsid w:val="004368D8"/>
    <w:rsid w:val="004425D4"/>
    <w:rsid w:val="00445FAC"/>
    <w:rsid w:val="00446E1D"/>
    <w:rsid w:val="00450263"/>
    <w:rsid w:val="00450733"/>
    <w:rsid w:val="004511C0"/>
    <w:rsid w:val="00451AEF"/>
    <w:rsid w:val="00452329"/>
    <w:rsid w:val="00452D24"/>
    <w:rsid w:val="00452EF6"/>
    <w:rsid w:val="00453015"/>
    <w:rsid w:val="00455D31"/>
    <w:rsid w:val="00456FCC"/>
    <w:rsid w:val="004600A7"/>
    <w:rsid w:val="00461876"/>
    <w:rsid w:val="00461A01"/>
    <w:rsid w:val="00463781"/>
    <w:rsid w:val="00464A60"/>
    <w:rsid w:val="004650A1"/>
    <w:rsid w:val="00467685"/>
    <w:rsid w:val="00470AE2"/>
    <w:rsid w:val="00470B8B"/>
    <w:rsid w:val="0047136F"/>
    <w:rsid w:val="004741D9"/>
    <w:rsid w:val="004750C1"/>
    <w:rsid w:val="004759C8"/>
    <w:rsid w:val="00481060"/>
    <w:rsid w:val="00481972"/>
    <w:rsid w:val="00483D6C"/>
    <w:rsid w:val="00484D67"/>
    <w:rsid w:val="00486D1E"/>
    <w:rsid w:val="00487891"/>
    <w:rsid w:val="004901A4"/>
    <w:rsid w:val="00490E2F"/>
    <w:rsid w:val="00491040"/>
    <w:rsid w:val="00493E31"/>
    <w:rsid w:val="004951A5"/>
    <w:rsid w:val="004967EC"/>
    <w:rsid w:val="004A0DB2"/>
    <w:rsid w:val="004A1147"/>
    <w:rsid w:val="004A3BB5"/>
    <w:rsid w:val="004A5C10"/>
    <w:rsid w:val="004A5DB8"/>
    <w:rsid w:val="004A7AEF"/>
    <w:rsid w:val="004A7BB1"/>
    <w:rsid w:val="004B0D94"/>
    <w:rsid w:val="004B0EB0"/>
    <w:rsid w:val="004B1669"/>
    <w:rsid w:val="004B37CC"/>
    <w:rsid w:val="004B4DC8"/>
    <w:rsid w:val="004B57DF"/>
    <w:rsid w:val="004C2E37"/>
    <w:rsid w:val="004C3747"/>
    <w:rsid w:val="004C7828"/>
    <w:rsid w:val="004C7BB3"/>
    <w:rsid w:val="004D3310"/>
    <w:rsid w:val="004D34A8"/>
    <w:rsid w:val="004D3E88"/>
    <w:rsid w:val="004D3FA4"/>
    <w:rsid w:val="004D42F8"/>
    <w:rsid w:val="004D4B79"/>
    <w:rsid w:val="004D61A8"/>
    <w:rsid w:val="004D6963"/>
    <w:rsid w:val="004D6BC5"/>
    <w:rsid w:val="004D7534"/>
    <w:rsid w:val="004D798C"/>
    <w:rsid w:val="004E06AD"/>
    <w:rsid w:val="004E6CB6"/>
    <w:rsid w:val="004E7B65"/>
    <w:rsid w:val="004F086D"/>
    <w:rsid w:val="004F0F42"/>
    <w:rsid w:val="004F145C"/>
    <w:rsid w:val="004F25B7"/>
    <w:rsid w:val="004F3515"/>
    <w:rsid w:val="004F38DF"/>
    <w:rsid w:val="004F5ACE"/>
    <w:rsid w:val="004F5EDB"/>
    <w:rsid w:val="004F6B3A"/>
    <w:rsid w:val="004F7141"/>
    <w:rsid w:val="00501164"/>
    <w:rsid w:val="005014D6"/>
    <w:rsid w:val="00502536"/>
    <w:rsid w:val="00503261"/>
    <w:rsid w:val="0050674B"/>
    <w:rsid w:val="005107B9"/>
    <w:rsid w:val="005114A3"/>
    <w:rsid w:val="00511700"/>
    <w:rsid w:val="00512ACE"/>
    <w:rsid w:val="005134B0"/>
    <w:rsid w:val="0051355E"/>
    <w:rsid w:val="00515D09"/>
    <w:rsid w:val="00517A7D"/>
    <w:rsid w:val="00522CA6"/>
    <w:rsid w:val="00522F57"/>
    <w:rsid w:val="00524A84"/>
    <w:rsid w:val="00524F01"/>
    <w:rsid w:val="00526163"/>
    <w:rsid w:val="005262F9"/>
    <w:rsid w:val="00527452"/>
    <w:rsid w:val="00527483"/>
    <w:rsid w:val="00527C06"/>
    <w:rsid w:val="0053171D"/>
    <w:rsid w:val="0053256A"/>
    <w:rsid w:val="0053287B"/>
    <w:rsid w:val="0053705B"/>
    <w:rsid w:val="00537F42"/>
    <w:rsid w:val="005416AA"/>
    <w:rsid w:val="00541E48"/>
    <w:rsid w:val="00542744"/>
    <w:rsid w:val="00545314"/>
    <w:rsid w:val="0054536E"/>
    <w:rsid w:val="0054550C"/>
    <w:rsid w:val="00546915"/>
    <w:rsid w:val="0054701A"/>
    <w:rsid w:val="005504B3"/>
    <w:rsid w:val="00550E24"/>
    <w:rsid w:val="005510DC"/>
    <w:rsid w:val="005519C3"/>
    <w:rsid w:val="00553CDE"/>
    <w:rsid w:val="005567EC"/>
    <w:rsid w:val="00556AA8"/>
    <w:rsid w:val="005601F9"/>
    <w:rsid w:val="0056228F"/>
    <w:rsid w:val="00563602"/>
    <w:rsid w:val="005645D8"/>
    <w:rsid w:val="005647A9"/>
    <w:rsid w:val="00566E24"/>
    <w:rsid w:val="00572EBC"/>
    <w:rsid w:val="005730A6"/>
    <w:rsid w:val="00573AEF"/>
    <w:rsid w:val="005747B6"/>
    <w:rsid w:val="005753C7"/>
    <w:rsid w:val="005771CE"/>
    <w:rsid w:val="00577CB1"/>
    <w:rsid w:val="00577F42"/>
    <w:rsid w:val="005801EE"/>
    <w:rsid w:val="00580341"/>
    <w:rsid w:val="005817E3"/>
    <w:rsid w:val="005826AD"/>
    <w:rsid w:val="00582DFF"/>
    <w:rsid w:val="0058477F"/>
    <w:rsid w:val="0058611A"/>
    <w:rsid w:val="005869C7"/>
    <w:rsid w:val="005874F1"/>
    <w:rsid w:val="00587557"/>
    <w:rsid w:val="0059316D"/>
    <w:rsid w:val="00597941"/>
    <w:rsid w:val="00597969"/>
    <w:rsid w:val="00597BB4"/>
    <w:rsid w:val="005A21EB"/>
    <w:rsid w:val="005A24A2"/>
    <w:rsid w:val="005A295E"/>
    <w:rsid w:val="005A2F4A"/>
    <w:rsid w:val="005A355F"/>
    <w:rsid w:val="005A35DD"/>
    <w:rsid w:val="005A7004"/>
    <w:rsid w:val="005B0F8C"/>
    <w:rsid w:val="005B1BE2"/>
    <w:rsid w:val="005B1E7C"/>
    <w:rsid w:val="005B3B93"/>
    <w:rsid w:val="005B41A2"/>
    <w:rsid w:val="005B46EF"/>
    <w:rsid w:val="005B5259"/>
    <w:rsid w:val="005B66D1"/>
    <w:rsid w:val="005B674C"/>
    <w:rsid w:val="005B7356"/>
    <w:rsid w:val="005B7C4F"/>
    <w:rsid w:val="005C0132"/>
    <w:rsid w:val="005C0B28"/>
    <w:rsid w:val="005C17FB"/>
    <w:rsid w:val="005C2693"/>
    <w:rsid w:val="005C6C55"/>
    <w:rsid w:val="005D0AE5"/>
    <w:rsid w:val="005D0BF1"/>
    <w:rsid w:val="005D1344"/>
    <w:rsid w:val="005D1DC2"/>
    <w:rsid w:val="005D34A4"/>
    <w:rsid w:val="005D5FB0"/>
    <w:rsid w:val="005D739D"/>
    <w:rsid w:val="005E14E6"/>
    <w:rsid w:val="005E34A7"/>
    <w:rsid w:val="005E35C4"/>
    <w:rsid w:val="005E3649"/>
    <w:rsid w:val="005E3660"/>
    <w:rsid w:val="005E3D3A"/>
    <w:rsid w:val="005E584C"/>
    <w:rsid w:val="005E6468"/>
    <w:rsid w:val="005E6540"/>
    <w:rsid w:val="005E6A0D"/>
    <w:rsid w:val="005F1F30"/>
    <w:rsid w:val="005F2515"/>
    <w:rsid w:val="005F2A19"/>
    <w:rsid w:val="005F42AB"/>
    <w:rsid w:val="005F509E"/>
    <w:rsid w:val="005F60EE"/>
    <w:rsid w:val="005F78FA"/>
    <w:rsid w:val="00600457"/>
    <w:rsid w:val="00600C56"/>
    <w:rsid w:val="006020B8"/>
    <w:rsid w:val="00603087"/>
    <w:rsid w:val="00604B33"/>
    <w:rsid w:val="00605876"/>
    <w:rsid w:val="00615447"/>
    <w:rsid w:val="00615993"/>
    <w:rsid w:val="0061660A"/>
    <w:rsid w:val="006177A1"/>
    <w:rsid w:val="00617A93"/>
    <w:rsid w:val="00617AB7"/>
    <w:rsid w:val="006224F0"/>
    <w:rsid w:val="00623858"/>
    <w:rsid w:val="00623D17"/>
    <w:rsid w:val="00631579"/>
    <w:rsid w:val="006329FC"/>
    <w:rsid w:val="00633960"/>
    <w:rsid w:val="00633978"/>
    <w:rsid w:val="00633DDB"/>
    <w:rsid w:val="00633DF2"/>
    <w:rsid w:val="00636C0F"/>
    <w:rsid w:val="006376B6"/>
    <w:rsid w:val="00637793"/>
    <w:rsid w:val="00637D72"/>
    <w:rsid w:val="006404F3"/>
    <w:rsid w:val="00641EBC"/>
    <w:rsid w:val="0064350A"/>
    <w:rsid w:val="00643710"/>
    <w:rsid w:val="006441C0"/>
    <w:rsid w:val="00644AB2"/>
    <w:rsid w:val="00646649"/>
    <w:rsid w:val="0064677F"/>
    <w:rsid w:val="00646FB2"/>
    <w:rsid w:val="006502C6"/>
    <w:rsid w:val="00650799"/>
    <w:rsid w:val="00651138"/>
    <w:rsid w:val="006541E7"/>
    <w:rsid w:val="00655AE5"/>
    <w:rsid w:val="00656232"/>
    <w:rsid w:val="00660DC7"/>
    <w:rsid w:val="00661679"/>
    <w:rsid w:val="00666B59"/>
    <w:rsid w:val="00667860"/>
    <w:rsid w:val="00670B37"/>
    <w:rsid w:val="00670CBE"/>
    <w:rsid w:val="00672A45"/>
    <w:rsid w:val="00672D94"/>
    <w:rsid w:val="00675850"/>
    <w:rsid w:val="00677B36"/>
    <w:rsid w:val="00677BE1"/>
    <w:rsid w:val="00682349"/>
    <w:rsid w:val="0068266A"/>
    <w:rsid w:val="0068366C"/>
    <w:rsid w:val="0068654A"/>
    <w:rsid w:val="0069442C"/>
    <w:rsid w:val="00694FEF"/>
    <w:rsid w:val="00696BE8"/>
    <w:rsid w:val="00696CC2"/>
    <w:rsid w:val="00696CED"/>
    <w:rsid w:val="006A022A"/>
    <w:rsid w:val="006A260B"/>
    <w:rsid w:val="006A3C5C"/>
    <w:rsid w:val="006A42D5"/>
    <w:rsid w:val="006A4391"/>
    <w:rsid w:val="006A6124"/>
    <w:rsid w:val="006A64F3"/>
    <w:rsid w:val="006A6899"/>
    <w:rsid w:val="006A6A12"/>
    <w:rsid w:val="006A7573"/>
    <w:rsid w:val="006B4900"/>
    <w:rsid w:val="006C0ED1"/>
    <w:rsid w:val="006C2DB7"/>
    <w:rsid w:val="006C3F63"/>
    <w:rsid w:val="006C5188"/>
    <w:rsid w:val="006C7313"/>
    <w:rsid w:val="006D0D21"/>
    <w:rsid w:val="006D1B04"/>
    <w:rsid w:val="006D1BFC"/>
    <w:rsid w:val="006D1C3D"/>
    <w:rsid w:val="006D259E"/>
    <w:rsid w:val="006D2A44"/>
    <w:rsid w:val="006D2AB3"/>
    <w:rsid w:val="006D41A4"/>
    <w:rsid w:val="006D4943"/>
    <w:rsid w:val="006D693C"/>
    <w:rsid w:val="006D6E25"/>
    <w:rsid w:val="006D7DB7"/>
    <w:rsid w:val="006E0EC1"/>
    <w:rsid w:val="006E0EF8"/>
    <w:rsid w:val="006E1C93"/>
    <w:rsid w:val="006E229D"/>
    <w:rsid w:val="006E22D7"/>
    <w:rsid w:val="006E2C90"/>
    <w:rsid w:val="006E352E"/>
    <w:rsid w:val="006E4E39"/>
    <w:rsid w:val="006E4F59"/>
    <w:rsid w:val="006E50D2"/>
    <w:rsid w:val="006E5373"/>
    <w:rsid w:val="006F2A1C"/>
    <w:rsid w:val="006F3586"/>
    <w:rsid w:val="006F40ED"/>
    <w:rsid w:val="006F609A"/>
    <w:rsid w:val="006F6B68"/>
    <w:rsid w:val="006F78E2"/>
    <w:rsid w:val="006F790C"/>
    <w:rsid w:val="00700B1B"/>
    <w:rsid w:val="007012EE"/>
    <w:rsid w:val="00702D5F"/>
    <w:rsid w:val="00704033"/>
    <w:rsid w:val="00704613"/>
    <w:rsid w:val="00704637"/>
    <w:rsid w:val="00704B3C"/>
    <w:rsid w:val="007064C4"/>
    <w:rsid w:val="00710AD0"/>
    <w:rsid w:val="00715112"/>
    <w:rsid w:val="00716D7D"/>
    <w:rsid w:val="00717A05"/>
    <w:rsid w:val="00721837"/>
    <w:rsid w:val="00723092"/>
    <w:rsid w:val="00723114"/>
    <w:rsid w:val="007258FF"/>
    <w:rsid w:val="00726049"/>
    <w:rsid w:val="00726CD4"/>
    <w:rsid w:val="00727E85"/>
    <w:rsid w:val="00731268"/>
    <w:rsid w:val="00732581"/>
    <w:rsid w:val="007355AF"/>
    <w:rsid w:val="00736686"/>
    <w:rsid w:val="00740829"/>
    <w:rsid w:val="00741699"/>
    <w:rsid w:val="0074289C"/>
    <w:rsid w:val="00742F6D"/>
    <w:rsid w:val="00743A12"/>
    <w:rsid w:val="0074445A"/>
    <w:rsid w:val="00747870"/>
    <w:rsid w:val="007511D4"/>
    <w:rsid w:val="007511F4"/>
    <w:rsid w:val="007517EE"/>
    <w:rsid w:val="00753D02"/>
    <w:rsid w:val="007575ED"/>
    <w:rsid w:val="0076061C"/>
    <w:rsid w:val="007615B4"/>
    <w:rsid w:val="00761752"/>
    <w:rsid w:val="00763CC4"/>
    <w:rsid w:val="0076582F"/>
    <w:rsid w:val="00765F31"/>
    <w:rsid w:val="00770514"/>
    <w:rsid w:val="0078017B"/>
    <w:rsid w:val="00780214"/>
    <w:rsid w:val="00780D83"/>
    <w:rsid w:val="00781C50"/>
    <w:rsid w:val="00781F63"/>
    <w:rsid w:val="00781FB4"/>
    <w:rsid w:val="00784496"/>
    <w:rsid w:val="00785687"/>
    <w:rsid w:val="00787BF2"/>
    <w:rsid w:val="00790A06"/>
    <w:rsid w:val="00791084"/>
    <w:rsid w:val="007913F3"/>
    <w:rsid w:val="00792B47"/>
    <w:rsid w:val="007932ED"/>
    <w:rsid w:val="00795922"/>
    <w:rsid w:val="0079732D"/>
    <w:rsid w:val="007A0095"/>
    <w:rsid w:val="007A4668"/>
    <w:rsid w:val="007A4ED5"/>
    <w:rsid w:val="007A614D"/>
    <w:rsid w:val="007A673E"/>
    <w:rsid w:val="007A6976"/>
    <w:rsid w:val="007A6AA4"/>
    <w:rsid w:val="007B0204"/>
    <w:rsid w:val="007B0721"/>
    <w:rsid w:val="007B0C6B"/>
    <w:rsid w:val="007B206F"/>
    <w:rsid w:val="007B2B08"/>
    <w:rsid w:val="007B5DB3"/>
    <w:rsid w:val="007B7447"/>
    <w:rsid w:val="007B753C"/>
    <w:rsid w:val="007C0183"/>
    <w:rsid w:val="007C0D99"/>
    <w:rsid w:val="007C28B6"/>
    <w:rsid w:val="007C2987"/>
    <w:rsid w:val="007C67D5"/>
    <w:rsid w:val="007C7043"/>
    <w:rsid w:val="007D172E"/>
    <w:rsid w:val="007D2984"/>
    <w:rsid w:val="007D2B23"/>
    <w:rsid w:val="007D2C7C"/>
    <w:rsid w:val="007D397C"/>
    <w:rsid w:val="007D4E90"/>
    <w:rsid w:val="007D6C65"/>
    <w:rsid w:val="007D6CEB"/>
    <w:rsid w:val="007D7CC6"/>
    <w:rsid w:val="007E2A5A"/>
    <w:rsid w:val="007E2EDB"/>
    <w:rsid w:val="007E2F92"/>
    <w:rsid w:val="007E4E0D"/>
    <w:rsid w:val="007E53E6"/>
    <w:rsid w:val="007E54E5"/>
    <w:rsid w:val="007E5CD3"/>
    <w:rsid w:val="007E7168"/>
    <w:rsid w:val="007E73C8"/>
    <w:rsid w:val="007E7BD6"/>
    <w:rsid w:val="007F14DB"/>
    <w:rsid w:val="007F2233"/>
    <w:rsid w:val="007F3ECA"/>
    <w:rsid w:val="007F45C8"/>
    <w:rsid w:val="007F51C8"/>
    <w:rsid w:val="007F59FB"/>
    <w:rsid w:val="007F5FBA"/>
    <w:rsid w:val="007F625D"/>
    <w:rsid w:val="007F7114"/>
    <w:rsid w:val="007F7392"/>
    <w:rsid w:val="00800B70"/>
    <w:rsid w:val="00800E3F"/>
    <w:rsid w:val="008011B6"/>
    <w:rsid w:val="008029F8"/>
    <w:rsid w:val="00807D0F"/>
    <w:rsid w:val="00811027"/>
    <w:rsid w:val="00811EEF"/>
    <w:rsid w:val="0081336A"/>
    <w:rsid w:val="0081395F"/>
    <w:rsid w:val="008157A8"/>
    <w:rsid w:val="00816160"/>
    <w:rsid w:val="00817C04"/>
    <w:rsid w:val="00821236"/>
    <w:rsid w:val="0082406F"/>
    <w:rsid w:val="008245A3"/>
    <w:rsid w:val="00825A30"/>
    <w:rsid w:val="0082651C"/>
    <w:rsid w:val="008311D1"/>
    <w:rsid w:val="00831F0F"/>
    <w:rsid w:val="008323A4"/>
    <w:rsid w:val="008346D7"/>
    <w:rsid w:val="008347A2"/>
    <w:rsid w:val="008361C1"/>
    <w:rsid w:val="008362F7"/>
    <w:rsid w:val="00837E46"/>
    <w:rsid w:val="0084225F"/>
    <w:rsid w:val="00842281"/>
    <w:rsid w:val="00842AFE"/>
    <w:rsid w:val="008449BC"/>
    <w:rsid w:val="008456F8"/>
    <w:rsid w:val="00851B94"/>
    <w:rsid w:val="00853E87"/>
    <w:rsid w:val="00855AD6"/>
    <w:rsid w:val="00860B4C"/>
    <w:rsid w:val="008617B5"/>
    <w:rsid w:val="0086194B"/>
    <w:rsid w:val="00862D08"/>
    <w:rsid w:val="008659C3"/>
    <w:rsid w:val="008660D7"/>
    <w:rsid w:val="00866B19"/>
    <w:rsid w:val="008712D7"/>
    <w:rsid w:val="00872C78"/>
    <w:rsid w:val="00874449"/>
    <w:rsid w:val="008752CD"/>
    <w:rsid w:val="00875AD4"/>
    <w:rsid w:val="00876BCE"/>
    <w:rsid w:val="0087729B"/>
    <w:rsid w:val="00877A27"/>
    <w:rsid w:val="0088063C"/>
    <w:rsid w:val="0088097F"/>
    <w:rsid w:val="00883B0D"/>
    <w:rsid w:val="008869D3"/>
    <w:rsid w:val="00890396"/>
    <w:rsid w:val="0089080B"/>
    <w:rsid w:val="00891E0E"/>
    <w:rsid w:val="008925B4"/>
    <w:rsid w:val="00894461"/>
    <w:rsid w:val="00896583"/>
    <w:rsid w:val="008A263A"/>
    <w:rsid w:val="008A282C"/>
    <w:rsid w:val="008A4F62"/>
    <w:rsid w:val="008A51B7"/>
    <w:rsid w:val="008A6AC5"/>
    <w:rsid w:val="008A70E6"/>
    <w:rsid w:val="008A74C9"/>
    <w:rsid w:val="008A7B7E"/>
    <w:rsid w:val="008B004D"/>
    <w:rsid w:val="008B0BE4"/>
    <w:rsid w:val="008B28A3"/>
    <w:rsid w:val="008B34A9"/>
    <w:rsid w:val="008B3DA9"/>
    <w:rsid w:val="008B4ED9"/>
    <w:rsid w:val="008B5980"/>
    <w:rsid w:val="008B7B1E"/>
    <w:rsid w:val="008B7D95"/>
    <w:rsid w:val="008C170C"/>
    <w:rsid w:val="008C1A91"/>
    <w:rsid w:val="008C4660"/>
    <w:rsid w:val="008C5EB5"/>
    <w:rsid w:val="008C7A76"/>
    <w:rsid w:val="008C7CB1"/>
    <w:rsid w:val="008D015B"/>
    <w:rsid w:val="008D07A6"/>
    <w:rsid w:val="008D2B47"/>
    <w:rsid w:val="008D7B03"/>
    <w:rsid w:val="008E07AA"/>
    <w:rsid w:val="008E3923"/>
    <w:rsid w:val="008E4E0B"/>
    <w:rsid w:val="008E6E28"/>
    <w:rsid w:val="008E74A6"/>
    <w:rsid w:val="008F0644"/>
    <w:rsid w:val="008F1F3F"/>
    <w:rsid w:val="008F3E03"/>
    <w:rsid w:val="008F4133"/>
    <w:rsid w:val="008F65A5"/>
    <w:rsid w:val="008F6BE3"/>
    <w:rsid w:val="009010D4"/>
    <w:rsid w:val="00902101"/>
    <w:rsid w:val="00903951"/>
    <w:rsid w:val="00903FD7"/>
    <w:rsid w:val="00907AB1"/>
    <w:rsid w:val="00907E67"/>
    <w:rsid w:val="00910924"/>
    <w:rsid w:val="0091398C"/>
    <w:rsid w:val="00914B5C"/>
    <w:rsid w:val="00914C01"/>
    <w:rsid w:val="009165E9"/>
    <w:rsid w:val="00922D46"/>
    <w:rsid w:val="00930305"/>
    <w:rsid w:val="0093239B"/>
    <w:rsid w:val="00932F63"/>
    <w:rsid w:val="0093578E"/>
    <w:rsid w:val="00940451"/>
    <w:rsid w:val="00943BAA"/>
    <w:rsid w:val="00944053"/>
    <w:rsid w:val="00945E10"/>
    <w:rsid w:val="0094635A"/>
    <w:rsid w:val="009473DC"/>
    <w:rsid w:val="00950702"/>
    <w:rsid w:val="00951F59"/>
    <w:rsid w:val="0096140C"/>
    <w:rsid w:val="009639CB"/>
    <w:rsid w:val="00971141"/>
    <w:rsid w:val="00971F8D"/>
    <w:rsid w:val="009726BC"/>
    <w:rsid w:val="00972D1A"/>
    <w:rsid w:val="00974373"/>
    <w:rsid w:val="00975847"/>
    <w:rsid w:val="00977788"/>
    <w:rsid w:val="0098085E"/>
    <w:rsid w:val="009818FF"/>
    <w:rsid w:val="00984C10"/>
    <w:rsid w:val="00985060"/>
    <w:rsid w:val="009903C6"/>
    <w:rsid w:val="00990F4B"/>
    <w:rsid w:val="0099103B"/>
    <w:rsid w:val="009921DC"/>
    <w:rsid w:val="00993EE4"/>
    <w:rsid w:val="0099428D"/>
    <w:rsid w:val="00995288"/>
    <w:rsid w:val="00996903"/>
    <w:rsid w:val="009A0A8E"/>
    <w:rsid w:val="009A1032"/>
    <w:rsid w:val="009A221D"/>
    <w:rsid w:val="009B025E"/>
    <w:rsid w:val="009B0C97"/>
    <w:rsid w:val="009B2E4F"/>
    <w:rsid w:val="009B4A54"/>
    <w:rsid w:val="009B5E61"/>
    <w:rsid w:val="009B6EA5"/>
    <w:rsid w:val="009B7A5C"/>
    <w:rsid w:val="009C202C"/>
    <w:rsid w:val="009C50B9"/>
    <w:rsid w:val="009C57E7"/>
    <w:rsid w:val="009C61A9"/>
    <w:rsid w:val="009C7F07"/>
    <w:rsid w:val="009D121E"/>
    <w:rsid w:val="009D2172"/>
    <w:rsid w:val="009D30DA"/>
    <w:rsid w:val="009D3837"/>
    <w:rsid w:val="009D64F2"/>
    <w:rsid w:val="009D65A1"/>
    <w:rsid w:val="009E4A0B"/>
    <w:rsid w:val="009E526E"/>
    <w:rsid w:val="009F4D3B"/>
    <w:rsid w:val="009F664D"/>
    <w:rsid w:val="009F6977"/>
    <w:rsid w:val="009F73B8"/>
    <w:rsid w:val="00A000E6"/>
    <w:rsid w:val="00A00DB6"/>
    <w:rsid w:val="00A01710"/>
    <w:rsid w:val="00A05194"/>
    <w:rsid w:val="00A055C0"/>
    <w:rsid w:val="00A057BF"/>
    <w:rsid w:val="00A12023"/>
    <w:rsid w:val="00A12ED8"/>
    <w:rsid w:val="00A16FB4"/>
    <w:rsid w:val="00A20832"/>
    <w:rsid w:val="00A21026"/>
    <w:rsid w:val="00A2462B"/>
    <w:rsid w:val="00A267F0"/>
    <w:rsid w:val="00A2771D"/>
    <w:rsid w:val="00A27DA0"/>
    <w:rsid w:val="00A30376"/>
    <w:rsid w:val="00A3406F"/>
    <w:rsid w:val="00A3464D"/>
    <w:rsid w:val="00A36CD6"/>
    <w:rsid w:val="00A40865"/>
    <w:rsid w:val="00A40FDB"/>
    <w:rsid w:val="00A41B0B"/>
    <w:rsid w:val="00A42C61"/>
    <w:rsid w:val="00A43094"/>
    <w:rsid w:val="00A43766"/>
    <w:rsid w:val="00A437E5"/>
    <w:rsid w:val="00A4432D"/>
    <w:rsid w:val="00A476A9"/>
    <w:rsid w:val="00A53834"/>
    <w:rsid w:val="00A53C17"/>
    <w:rsid w:val="00A542CB"/>
    <w:rsid w:val="00A556E5"/>
    <w:rsid w:val="00A55C45"/>
    <w:rsid w:val="00A561ED"/>
    <w:rsid w:val="00A561F9"/>
    <w:rsid w:val="00A564BF"/>
    <w:rsid w:val="00A60725"/>
    <w:rsid w:val="00A61937"/>
    <w:rsid w:val="00A63229"/>
    <w:rsid w:val="00A64D67"/>
    <w:rsid w:val="00A650E8"/>
    <w:rsid w:val="00A6515A"/>
    <w:rsid w:val="00A653E7"/>
    <w:rsid w:val="00A65AD8"/>
    <w:rsid w:val="00A673EA"/>
    <w:rsid w:val="00A70550"/>
    <w:rsid w:val="00A71ED9"/>
    <w:rsid w:val="00A7250C"/>
    <w:rsid w:val="00A7351B"/>
    <w:rsid w:val="00A7355A"/>
    <w:rsid w:val="00A748D4"/>
    <w:rsid w:val="00A82722"/>
    <w:rsid w:val="00A82F09"/>
    <w:rsid w:val="00A833C2"/>
    <w:rsid w:val="00A85DAD"/>
    <w:rsid w:val="00A8652E"/>
    <w:rsid w:val="00A903D5"/>
    <w:rsid w:val="00A91965"/>
    <w:rsid w:val="00A9230B"/>
    <w:rsid w:val="00A92323"/>
    <w:rsid w:val="00A92B0C"/>
    <w:rsid w:val="00A958AB"/>
    <w:rsid w:val="00A95A00"/>
    <w:rsid w:val="00A9688C"/>
    <w:rsid w:val="00AA136C"/>
    <w:rsid w:val="00AA2C4B"/>
    <w:rsid w:val="00AA36EC"/>
    <w:rsid w:val="00AA60CA"/>
    <w:rsid w:val="00AA7456"/>
    <w:rsid w:val="00AB02BE"/>
    <w:rsid w:val="00AB0966"/>
    <w:rsid w:val="00AB0BF2"/>
    <w:rsid w:val="00AB5635"/>
    <w:rsid w:val="00AB5BEC"/>
    <w:rsid w:val="00AC06AF"/>
    <w:rsid w:val="00AC0D37"/>
    <w:rsid w:val="00AC1E53"/>
    <w:rsid w:val="00AC2038"/>
    <w:rsid w:val="00AC27D0"/>
    <w:rsid w:val="00AC49A6"/>
    <w:rsid w:val="00AC4B60"/>
    <w:rsid w:val="00AC4CCA"/>
    <w:rsid w:val="00AC6CED"/>
    <w:rsid w:val="00AC72EC"/>
    <w:rsid w:val="00AC74C6"/>
    <w:rsid w:val="00AD1071"/>
    <w:rsid w:val="00AD173A"/>
    <w:rsid w:val="00AD2B4B"/>
    <w:rsid w:val="00AD3361"/>
    <w:rsid w:val="00AD46A8"/>
    <w:rsid w:val="00AD5F16"/>
    <w:rsid w:val="00AD6EAE"/>
    <w:rsid w:val="00AE1E8E"/>
    <w:rsid w:val="00AE3ED2"/>
    <w:rsid w:val="00AE60EE"/>
    <w:rsid w:val="00AE7014"/>
    <w:rsid w:val="00AF10BB"/>
    <w:rsid w:val="00AF579F"/>
    <w:rsid w:val="00AF6E37"/>
    <w:rsid w:val="00AF7001"/>
    <w:rsid w:val="00AF723B"/>
    <w:rsid w:val="00AF7309"/>
    <w:rsid w:val="00B00495"/>
    <w:rsid w:val="00B017B1"/>
    <w:rsid w:val="00B03B5C"/>
    <w:rsid w:val="00B04EC9"/>
    <w:rsid w:val="00B060C8"/>
    <w:rsid w:val="00B078C9"/>
    <w:rsid w:val="00B10E70"/>
    <w:rsid w:val="00B126AE"/>
    <w:rsid w:val="00B128EA"/>
    <w:rsid w:val="00B151CB"/>
    <w:rsid w:val="00B17BED"/>
    <w:rsid w:val="00B203BA"/>
    <w:rsid w:val="00B2112A"/>
    <w:rsid w:val="00B21252"/>
    <w:rsid w:val="00B236D8"/>
    <w:rsid w:val="00B25665"/>
    <w:rsid w:val="00B26380"/>
    <w:rsid w:val="00B265A8"/>
    <w:rsid w:val="00B2757E"/>
    <w:rsid w:val="00B3074A"/>
    <w:rsid w:val="00B30D0D"/>
    <w:rsid w:val="00B31C18"/>
    <w:rsid w:val="00B3232D"/>
    <w:rsid w:val="00B3609D"/>
    <w:rsid w:val="00B37214"/>
    <w:rsid w:val="00B46C83"/>
    <w:rsid w:val="00B46F98"/>
    <w:rsid w:val="00B470D1"/>
    <w:rsid w:val="00B47FFC"/>
    <w:rsid w:val="00B51186"/>
    <w:rsid w:val="00B51C7A"/>
    <w:rsid w:val="00B54086"/>
    <w:rsid w:val="00B5409B"/>
    <w:rsid w:val="00B540B0"/>
    <w:rsid w:val="00B54A9F"/>
    <w:rsid w:val="00B54B8D"/>
    <w:rsid w:val="00B54DC5"/>
    <w:rsid w:val="00B560DC"/>
    <w:rsid w:val="00B561D6"/>
    <w:rsid w:val="00B572A8"/>
    <w:rsid w:val="00B60057"/>
    <w:rsid w:val="00B611FF"/>
    <w:rsid w:val="00B61CB0"/>
    <w:rsid w:val="00B62121"/>
    <w:rsid w:val="00B62125"/>
    <w:rsid w:val="00B6288E"/>
    <w:rsid w:val="00B65176"/>
    <w:rsid w:val="00B661D6"/>
    <w:rsid w:val="00B701CF"/>
    <w:rsid w:val="00B70998"/>
    <w:rsid w:val="00B74AFB"/>
    <w:rsid w:val="00B75C7D"/>
    <w:rsid w:val="00B76AB4"/>
    <w:rsid w:val="00B775E7"/>
    <w:rsid w:val="00B8076D"/>
    <w:rsid w:val="00B82D6D"/>
    <w:rsid w:val="00B87D0E"/>
    <w:rsid w:val="00B9167D"/>
    <w:rsid w:val="00B93E8F"/>
    <w:rsid w:val="00B94508"/>
    <w:rsid w:val="00B945F2"/>
    <w:rsid w:val="00B9532C"/>
    <w:rsid w:val="00B95871"/>
    <w:rsid w:val="00B963C9"/>
    <w:rsid w:val="00B9688C"/>
    <w:rsid w:val="00BA0C92"/>
    <w:rsid w:val="00BA1CA5"/>
    <w:rsid w:val="00BA1D6A"/>
    <w:rsid w:val="00BA2192"/>
    <w:rsid w:val="00BA38CA"/>
    <w:rsid w:val="00BA4F42"/>
    <w:rsid w:val="00BA5C27"/>
    <w:rsid w:val="00BA6AB5"/>
    <w:rsid w:val="00BA76E0"/>
    <w:rsid w:val="00BA7F66"/>
    <w:rsid w:val="00BB0956"/>
    <w:rsid w:val="00BB0AFD"/>
    <w:rsid w:val="00BB17BB"/>
    <w:rsid w:val="00BB2A8B"/>
    <w:rsid w:val="00BB58E4"/>
    <w:rsid w:val="00BB5E32"/>
    <w:rsid w:val="00BB65B3"/>
    <w:rsid w:val="00BB7104"/>
    <w:rsid w:val="00BB7358"/>
    <w:rsid w:val="00BC1A1D"/>
    <w:rsid w:val="00BC2280"/>
    <w:rsid w:val="00BC343E"/>
    <w:rsid w:val="00BC39AB"/>
    <w:rsid w:val="00BD0060"/>
    <w:rsid w:val="00BD102F"/>
    <w:rsid w:val="00BD1199"/>
    <w:rsid w:val="00BD2632"/>
    <w:rsid w:val="00BD3C01"/>
    <w:rsid w:val="00BD4059"/>
    <w:rsid w:val="00BD427D"/>
    <w:rsid w:val="00BD5684"/>
    <w:rsid w:val="00BE64AA"/>
    <w:rsid w:val="00BE7596"/>
    <w:rsid w:val="00BF2781"/>
    <w:rsid w:val="00C00EDB"/>
    <w:rsid w:val="00C0374C"/>
    <w:rsid w:val="00C11052"/>
    <w:rsid w:val="00C117AF"/>
    <w:rsid w:val="00C11A8B"/>
    <w:rsid w:val="00C12AFC"/>
    <w:rsid w:val="00C131D0"/>
    <w:rsid w:val="00C13F2F"/>
    <w:rsid w:val="00C1430E"/>
    <w:rsid w:val="00C144A1"/>
    <w:rsid w:val="00C14F7C"/>
    <w:rsid w:val="00C158D0"/>
    <w:rsid w:val="00C2196D"/>
    <w:rsid w:val="00C261FB"/>
    <w:rsid w:val="00C262E1"/>
    <w:rsid w:val="00C27AE3"/>
    <w:rsid w:val="00C31857"/>
    <w:rsid w:val="00C32FD5"/>
    <w:rsid w:val="00C3308F"/>
    <w:rsid w:val="00C3560E"/>
    <w:rsid w:val="00C35C96"/>
    <w:rsid w:val="00C372C6"/>
    <w:rsid w:val="00C43819"/>
    <w:rsid w:val="00C441EE"/>
    <w:rsid w:val="00C45939"/>
    <w:rsid w:val="00C46686"/>
    <w:rsid w:val="00C470DB"/>
    <w:rsid w:val="00C5054D"/>
    <w:rsid w:val="00C55474"/>
    <w:rsid w:val="00C55C38"/>
    <w:rsid w:val="00C56CA0"/>
    <w:rsid w:val="00C57F86"/>
    <w:rsid w:val="00C60306"/>
    <w:rsid w:val="00C60861"/>
    <w:rsid w:val="00C61938"/>
    <w:rsid w:val="00C635A5"/>
    <w:rsid w:val="00C63745"/>
    <w:rsid w:val="00C64EF7"/>
    <w:rsid w:val="00C655EE"/>
    <w:rsid w:val="00C664FD"/>
    <w:rsid w:val="00C67267"/>
    <w:rsid w:val="00C71BF6"/>
    <w:rsid w:val="00C727DC"/>
    <w:rsid w:val="00C72FBB"/>
    <w:rsid w:val="00C731C4"/>
    <w:rsid w:val="00C74884"/>
    <w:rsid w:val="00C75817"/>
    <w:rsid w:val="00C75841"/>
    <w:rsid w:val="00C806BB"/>
    <w:rsid w:val="00C81C31"/>
    <w:rsid w:val="00C846E8"/>
    <w:rsid w:val="00C84A46"/>
    <w:rsid w:val="00C84C07"/>
    <w:rsid w:val="00C84DF0"/>
    <w:rsid w:val="00C852F3"/>
    <w:rsid w:val="00C855EA"/>
    <w:rsid w:val="00C85CA5"/>
    <w:rsid w:val="00C85CD4"/>
    <w:rsid w:val="00C85D51"/>
    <w:rsid w:val="00C85E07"/>
    <w:rsid w:val="00C87287"/>
    <w:rsid w:val="00C90B15"/>
    <w:rsid w:val="00C90F3B"/>
    <w:rsid w:val="00C9104D"/>
    <w:rsid w:val="00C92E17"/>
    <w:rsid w:val="00C93E55"/>
    <w:rsid w:val="00C97875"/>
    <w:rsid w:val="00CA1297"/>
    <w:rsid w:val="00CA22D5"/>
    <w:rsid w:val="00CA3F5A"/>
    <w:rsid w:val="00CA4A95"/>
    <w:rsid w:val="00CA5823"/>
    <w:rsid w:val="00CA77FF"/>
    <w:rsid w:val="00CA7C0C"/>
    <w:rsid w:val="00CB171D"/>
    <w:rsid w:val="00CB1ACB"/>
    <w:rsid w:val="00CB2ADA"/>
    <w:rsid w:val="00CB3E2A"/>
    <w:rsid w:val="00CB4F3C"/>
    <w:rsid w:val="00CB7444"/>
    <w:rsid w:val="00CC0E3F"/>
    <w:rsid w:val="00CC16B2"/>
    <w:rsid w:val="00CC28ED"/>
    <w:rsid w:val="00CC3240"/>
    <w:rsid w:val="00CC3403"/>
    <w:rsid w:val="00CC4A20"/>
    <w:rsid w:val="00CC593F"/>
    <w:rsid w:val="00CC652A"/>
    <w:rsid w:val="00CD0107"/>
    <w:rsid w:val="00CD0DDF"/>
    <w:rsid w:val="00CD0E11"/>
    <w:rsid w:val="00CD1222"/>
    <w:rsid w:val="00CD1ED4"/>
    <w:rsid w:val="00CD4B52"/>
    <w:rsid w:val="00CD64E0"/>
    <w:rsid w:val="00CD7FB3"/>
    <w:rsid w:val="00CE01B5"/>
    <w:rsid w:val="00CE15F1"/>
    <w:rsid w:val="00CE16DB"/>
    <w:rsid w:val="00CE1BED"/>
    <w:rsid w:val="00CE2344"/>
    <w:rsid w:val="00CE3E75"/>
    <w:rsid w:val="00CE4D64"/>
    <w:rsid w:val="00CE52FD"/>
    <w:rsid w:val="00CE6286"/>
    <w:rsid w:val="00CE6294"/>
    <w:rsid w:val="00CE7358"/>
    <w:rsid w:val="00CE7ACA"/>
    <w:rsid w:val="00CF0AA4"/>
    <w:rsid w:val="00CF18AE"/>
    <w:rsid w:val="00D009EF"/>
    <w:rsid w:val="00D009FB"/>
    <w:rsid w:val="00D00B63"/>
    <w:rsid w:val="00D01BEB"/>
    <w:rsid w:val="00D01FF8"/>
    <w:rsid w:val="00D03C75"/>
    <w:rsid w:val="00D050C0"/>
    <w:rsid w:val="00D0625F"/>
    <w:rsid w:val="00D063BC"/>
    <w:rsid w:val="00D07BF0"/>
    <w:rsid w:val="00D104D9"/>
    <w:rsid w:val="00D12962"/>
    <w:rsid w:val="00D13D38"/>
    <w:rsid w:val="00D20F6B"/>
    <w:rsid w:val="00D2190D"/>
    <w:rsid w:val="00D22D44"/>
    <w:rsid w:val="00D23C59"/>
    <w:rsid w:val="00D24402"/>
    <w:rsid w:val="00D24471"/>
    <w:rsid w:val="00D25B46"/>
    <w:rsid w:val="00D26022"/>
    <w:rsid w:val="00D26BC7"/>
    <w:rsid w:val="00D26D94"/>
    <w:rsid w:val="00D26DB4"/>
    <w:rsid w:val="00D304E9"/>
    <w:rsid w:val="00D31618"/>
    <w:rsid w:val="00D31A5E"/>
    <w:rsid w:val="00D34B52"/>
    <w:rsid w:val="00D3568E"/>
    <w:rsid w:val="00D36781"/>
    <w:rsid w:val="00D36C7E"/>
    <w:rsid w:val="00D40932"/>
    <w:rsid w:val="00D43E61"/>
    <w:rsid w:val="00D43EFC"/>
    <w:rsid w:val="00D46F03"/>
    <w:rsid w:val="00D47B3C"/>
    <w:rsid w:val="00D505CE"/>
    <w:rsid w:val="00D52A85"/>
    <w:rsid w:val="00D547AD"/>
    <w:rsid w:val="00D54B10"/>
    <w:rsid w:val="00D54D3C"/>
    <w:rsid w:val="00D57157"/>
    <w:rsid w:val="00D604CB"/>
    <w:rsid w:val="00D61C55"/>
    <w:rsid w:val="00D635A2"/>
    <w:rsid w:val="00D63854"/>
    <w:rsid w:val="00D6615E"/>
    <w:rsid w:val="00D66CF1"/>
    <w:rsid w:val="00D678CC"/>
    <w:rsid w:val="00D70915"/>
    <w:rsid w:val="00D761B3"/>
    <w:rsid w:val="00D764BF"/>
    <w:rsid w:val="00D7680D"/>
    <w:rsid w:val="00D7692E"/>
    <w:rsid w:val="00D76DD7"/>
    <w:rsid w:val="00D84F99"/>
    <w:rsid w:val="00D85789"/>
    <w:rsid w:val="00D85EDF"/>
    <w:rsid w:val="00D9084A"/>
    <w:rsid w:val="00D90C3C"/>
    <w:rsid w:val="00D911D8"/>
    <w:rsid w:val="00D9343C"/>
    <w:rsid w:val="00D95D4C"/>
    <w:rsid w:val="00D97151"/>
    <w:rsid w:val="00D97F9A"/>
    <w:rsid w:val="00DA61E7"/>
    <w:rsid w:val="00DA7404"/>
    <w:rsid w:val="00DB18AC"/>
    <w:rsid w:val="00DB20FD"/>
    <w:rsid w:val="00DB2171"/>
    <w:rsid w:val="00DB6F9B"/>
    <w:rsid w:val="00DB73E4"/>
    <w:rsid w:val="00DB779F"/>
    <w:rsid w:val="00DC282E"/>
    <w:rsid w:val="00DC28EA"/>
    <w:rsid w:val="00DC6F4D"/>
    <w:rsid w:val="00DC72A3"/>
    <w:rsid w:val="00DC76F4"/>
    <w:rsid w:val="00DC7A17"/>
    <w:rsid w:val="00DD00B0"/>
    <w:rsid w:val="00DD12A2"/>
    <w:rsid w:val="00DD12FD"/>
    <w:rsid w:val="00DD1B11"/>
    <w:rsid w:val="00DD23C1"/>
    <w:rsid w:val="00DD305C"/>
    <w:rsid w:val="00DD484F"/>
    <w:rsid w:val="00DD4A85"/>
    <w:rsid w:val="00DD4AA6"/>
    <w:rsid w:val="00DD7A17"/>
    <w:rsid w:val="00DE0A4C"/>
    <w:rsid w:val="00DE2115"/>
    <w:rsid w:val="00DE3CF5"/>
    <w:rsid w:val="00DE73F7"/>
    <w:rsid w:val="00DF1429"/>
    <w:rsid w:val="00DF2DAD"/>
    <w:rsid w:val="00DF2DB6"/>
    <w:rsid w:val="00DF3707"/>
    <w:rsid w:val="00E0216D"/>
    <w:rsid w:val="00E02B35"/>
    <w:rsid w:val="00E03AE0"/>
    <w:rsid w:val="00E05FEE"/>
    <w:rsid w:val="00E06261"/>
    <w:rsid w:val="00E07DD0"/>
    <w:rsid w:val="00E11564"/>
    <w:rsid w:val="00E13998"/>
    <w:rsid w:val="00E14C83"/>
    <w:rsid w:val="00E16EB3"/>
    <w:rsid w:val="00E17B1D"/>
    <w:rsid w:val="00E201D1"/>
    <w:rsid w:val="00E205C0"/>
    <w:rsid w:val="00E2101C"/>
    <w:rsid w:val="00E216AE"/>
    <w:rsid w:val="00E2498F"/>
    <w:rsid w:val="00E305D9"/>
    <w:rsid w:val="00E34405"/>
    <w:rsid w:val="00E42365"/>
    <w:rsid w:val="00E4383E"/>
    <w:rsid w:val="00E45009"/>
    <w:rsid w:val="00E45068"/>
    <w:rsid w:val="00E45127"/>
    <w:rsid w:val="00E467EF"/>
    <w:rsid w:val="00E50499"/>
    <w:rsid w:val="00E5106C"/>
    <w:rsid w:val="00E5378C"/>
    <w:rsid w:val="00E53DB8"/>
    <w:rsid w:val="00E544B5"/>
    <w:rsid w:val="00E54E5A"/>
    <w:rsid w:val="00E56149"/>
    <w:rsid w:val="00E57356"/>
    <w:rsid w:val="00E573F2"/>
    <w:rsid w:val="00E57AD4"/>
    <w:rsid w:val="00E57B03"/>
    <w:rsid w:val="00E60356"/>
    <w:rsid w:val="00E609C3"/>
    <w:rsid w:val="00E60A88"/>
    <w:rsid w:val="00E61CC1"/>
    <w:rsid w:val="00E6366C"/>
    <w:rsid w:val="00E65376"/>
    <w:rsid w:val="00E71074"/>
    <w:rsid w:val="00E73475"/>
    <w:rsid w:val="00E74686"/>
    <w:rsid w:val="00E75BF3"/>
    <w:rsid w:val="00E80866"/>
    <w:rsid w:val="00E83372"/>
    <w:rsid w:val="00E83BAA"/>
    <w:rsid w:val="00E83D6D"/>
    <w:rsid w:val="00E8406C"/>
    <w:rsid w:val="00E86268"/>
    <w:rsid w:val="00E905AA"/>
    <w:rsid w:val="00E90EC1"/>
    <w:rsid w:val="00E93ADE"/>
    <w:rsid w:val="00E956A7"/>
    <w:rsid w:val="00E95875"/>
    <w:rsid w:val="00E978F3"/>
    <w:rsid w:val="00EA1A17"/>
    <w:rsid w:val="00EA56D3"/>
    <w:rsid w:val="00EA5DF2"/>
    <w:rsid w:val="00EA7750"/>
    <w:rsid w:val="00EB1532"/>
    <w:rsid w:val="00EB1770"/>
    <w:rsid w:val="00EB23FE"/>
    <w:rsid w:val="00EB2A0A"/>
    <w:rsid w:val="00EB4369"/>
    <w:rsid w:val="00EB77ED"/>
    <w:rsid w:val="00EC1B4A"/>
    <w:rsid w:val="00EC29E8"/>
    <w:rsid w:val="00EC2C83"/>
    <w:rsid w:val="00EC3899"/>
    <w:rsid w:val="00EC45E0"/>
    <w:rsid w:val="00EC4AF0"/>
    <w:rsid w:val="00EC4FEB"/>
    <w:rsid w:val="00EC5773"/>
    <w:rsid w:val="00EC73DD"/>
    <w:rsid w:val="00ED019F"/>
    <w:rsid w:val="00ED01EB"/>
    <w:rsid w:val="00ED0CE5"/>
    <w:rsid w:val="00ED1EEB"/>
    <w:rsid w:val="00ED2CC8"/>
    <w:rsid w:val="00ED33EB"/>
    <w:rsid w:val="00ED4B48"/>
    <w:rsid w:val="00ED646F"/>
    <w:rsid w:val="00ED6841"/>
    <w:rsid w:val="00ED6D21"/>
    <w:rsid w:val="00ED6DA5"/>
    <w:rsid w:val="00ED78D3"/>
    <w:rsid w:val="00ED7CD6"/>
    <w:rsid w:val="00EE0937"/>
    <w:rsid w:val="00EE2140"/>
    <w:rsid w:val="00EE2A8C"/>
    <w:rsid w:val="00EE3143"/>
    <w:rsid w:val="00EE45FF"/>
    <w:rsid w:val="00EE464A"/>
    <w:rsid w:val="00EE617D"/>
    <w:rsid w:val="00EE6B3B"/>
    <w:rsid w:val="00EF00BB"/>
    <w:rsid w:val="00EF18C4"/>
    <w:rsid w:val="00EF415B"/>
    <w:rsid w:val="00EF48CE"/>
    <w:rsid w:val="00EF48D8"/>
    <w:rsid w:val="00EF4D55"/>
    <w:rsid w:val="00EF78C5"/>
    <w:rsid w:val="00F01559"/>
    <w:rsid w:val="00F0210D"/>
    <w:rsid w:val="00F03E23"/>
    <w:rsid w:val="00F03F6F"/>
    <w:rsid w:val="00F04A55"/>
    <w:rsid w:val="00F070D8"/>
    <w:rsid w:val="00F11A8E"/>
    <w:rsid w:val="00F11F93"/>
    <w:rsid w:val="00F1227D"/>
    <w:rsid w:val="00F12D37"/>
    <w:rsid w:val="00F13018"/>
    <w:rsid w:val="00F132E3"/>
    <w:rsid w:val="00F1340D"/>
    <w:rsid w:val="00F1448A"/>
    <w:rsid w:val="00F150C6"/>
    <w:rsid w:val="00F15DB4"/>
    <w:rsid w:val="00F2449D"/>
    <w:rsid w:val="00F24B7E"/>
    <w:rsid w:val="00F24DDD"/>
    <w:rsid w:val="00F27633"/>
    <w:rsid w:val="00F318B6"/>
    <w:rsid w:val="00F3274E"/>
    <w:rsid w:val="00F34AE8"/>
    <w:rsid w:val="00F37799"/>
    <w:rsid w:val="00F412F8"/>
    <w:rsid w:val="00F428B5"/>
    <w:rsid w:val="00F4548A"/>
    <w:rsid w:val="00F46292"/>
    <w:rsid w:val="00F5008E"/>
    <w:rsid w:val="00F5167A"/>
    <w:rsid w:val="00F5323E"/>
    <w:rsid w:val="00F53AC7"/>
    <w:rsid w:val="00F54DBF"/>
    <w:rsid w:val="00F569FB"/>
    <w:rsid w:val="00F56F80"/>
    <w:rsid w:val="00F57D2B"/>
    <w:rsid w:val="00F60851"/>
    <w:rsid w:val="00F609F5"/>
    <w:rsid w:val="00F60F99"/>
    <w:rsid w:val="00F62931"/>
    <w:rsid w:val="00F629BA"/>
    <w:rsid w:val="00F62B18"/>
    <w:rsid w:val="00F64712"/>
    <w:rsid w:val="00F6701E"/>
    <w:rsid w:val="00F71966"/>
    <w:rsid w:val="00F71E3E"/>
    <w:rsid w:val="00F72C6A"/>
    <w:rsid w:val="00F756DB"/>
    <w:rsid w:val="00F77C8F"/>
    <w:rsid w:val="00F811A8"/>
    <w:rsid w:val="00F833BF"/>
    <w:rsid w:val="00F90CF1"/>
    <w:rsid w:val="00F92C0E"/>
    <w:rsid w:val="00F94608"/>
    <w:rsid w:val="00F94D6E"/>
    <w:rsid w:val="00F96468"/>
    <w:rsid w:val="00F97A9C"/>
    <w:rsid w:val="00FA0CF4"/>
    <w:rsid w:val="00FA1164"/>
    <w:rsid w:val="00FA1BD0"/>
    <w:rsid w:val="00FA2167"/>
    <w:rsid w:val="00FA4398"/>
    <w:rsid w:val="00FA4E4D"/>
    <w:rsid w:val="00FA596F"/>
    <w:rsid w:val="00FA69E6"/>
    <w:rsid w:val="00FB1155"/>
    <w:rsid w:val="00FB3220"/>
    <w:rsid w:val="00FB39F5"/>
    <w:rsid w:val="00FB4629"/>
    <w:rsid w:val="00FB676C"/>
    <w:rsid w:val="00FB6F23"/>
    <w:rsid w:val="00FC12F6"/>
    <w:rsid w:val="00FC4598"/>
    <w:rsid w:val="00FC60CC"/>
    <w:rsid w:val="00FC7261"/>
    <w:rsid w:val="00FC7A21"/>
    <w:rsid w:val="00FC7AEA"/>
    <w:rsid w:val="00FD04EE"/>
    <w:rsid w:val="00FD05E3"/>
    <w:rsid w:val="00FD3B51"/>
    <w:rsid w:val="00FD5E16"/>
    <w:rsid w:val="00FE00B1"/>
    <w:rsid w:val="00FE0A58"/>
    <w:rsid w:val="00FE1AD3"/>
    <w:rsid w:val="00FE1B3B"/>
    <w:rsid w:val="00FE2795"/>
    <w:rsid w:val="00FE3364"/>
    <w:rsid w:val="00FE34C7"/>
    <w:rsid w:val="00FE3B70"/>
    <w:rsid w:val="00FE5C8D"/>
    <w:rsid w:val="00FE5DE0"/>
    <w:rsid w:val="00FE6A14"/>
    <w:rsid w:val="00FE6F38"/>
    <w:rsid w:val="00FF0185"/>
    <w:rsid w:val="00FF1CFC"/>
    <w:rsid w:val="00FF40EF"/>
    <w:rsid w:val="00FF5887"/>
    <w:rsid w:val="00FF62A9"/>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C5C6"/>
  <w15:chartTrackingRefBased/>
  <w15:docId w15:val="{15259C9B-3964-470C-8A9F-C7FDD99F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69D5"/>
    <w:pPr>
      <w:pageBreakBefore/>
      <w:numPr>
        <w:numId w:val="29"/>
      </w:numPr>
      <w:spacing w:after="360" w:line="360" w:lineRule="auto"/>
      <w:contextualSpacing/>
      <w:jc w:val="center"/>
      <w:outlineLvl w:val="0"/>
    </w:pPr>
    <w:rPr>
      <w:rFonts w:ascii="Times New Roman" w:eastAsia="Times New Roman" w:hAnsi="Times New Roman" w:cs="Times New Roman"/>
      <w:b/>
      <w:bCs/>
      <w:caps/>
      <w:sz w:val="24"/>
      <w:szCs w:val="24"/>
      <w:lang w:val="lt-LT" w:bidi="en-US"/>
    </w:rPr>
  </w:style>
  <w:style w:type="paragraph" w:styleId="Heading2">
    <w:name w:val="heading 2"/>
    <w:basedOn w:val="Normal"/>
    <w:next w:val="Normal"/>
    <w:link w:val="Heading2Char"/>
    <w:autoRedefine/>
    <w:uiPriority w:val="9"/>
    <w:unhideWhenUsed/>
    <w:qFormat/>
    <w:rsid w:val="000A69D5"/>
    <w:pPr>
      <w:keepNext/>
      <w:keepLines/>
      <w:spacing w:before="480" w:after="360" w:line="360" w:lineRule="auto"/>
      <w:jc w:val="both"/>
      <w:outlineLvl w:val="1"/>
    </w:pPr>
    <w:rPr>
      <w:rFonts w:ascii="Times New Roman Bold" w:eastAsia="Times New Roman" w:hAnsi="Times New Roman Bold" w:cs="Times New Roman"/>
      <w:b/>
      <w:bCs/>
      <w:sz w:val="24"/>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D72"/>
    <w:pPr>
      <w:autoSpaceDE w:val="0"/>
      <w:autoSpaceDN w:val="0"/>
      <w:adjustRightInd w:val="0"/>
      <w:spacing w:after="0" w:line="240" w:lineRule="auto"/>
    </w:pPr>
    <w:rPr>
      <w:rFonts w:ascii="Times New Roman" w:hAnsi="Times New Roman" w:cs="Times New Roman"/>
      <w:color w:val="000000"/>
      <w:sz w:val="24"/>
      <w:szCs w:val="24"/>
      <w:lang w:val="lt-LT"/>
    </w:rPr>
  </w:style>
  <w:style w:type="paragraph" w:customStyle="1" w:styleId="Pavadinimas">
    <w:name w:val="Pavadinimas"/>
    <w:basedOn w:val="Title"/>
    <w:rsid w:val="001B795F"/>
    <w:pPr>
      <w:spacing w:before="60" w:after="60"/>
      <w:contextualSpacing w:val="0"/>
      <w:jc w:val="both"/>
    </w:pPr>
    <w:rPr>
      <w:rFonts w:ascii="Trebuchet MS" w:eastAsia="Times New Roman" w:hAnsi="Trebuchet MS" w:cs="Arial"/>
      <w:b/>
      <w:bCs/>
      <w:spacing w:val="0"/>
      <w:sz w:val="32"/>
      <w:szCs w:val="32"/>
      <w:lang w:val="lt-LT"/>
    </w:rPr>
  </w:style>
  <w:style w:type="paragraph" w:styleId="Title">
    <w:name w:val="Title"/>
    <w:basedOn w:val="Normal"/>
    <w:next w:val="Normal"/>
    <w:link w:val="TitleChar"/>
    <w:uiPriority w:val="10"/>
    <w:qFormat/>
    <w:rsid w:val="001B7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95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B795F"/>
    <w:rPr>
      <w:sz w:val="16"/>
      <w:szCs w:val="16"/>
    </w:rPr>
  </w:style>
  <w:style w:type="paragraph" w:styleId="CommentText">
    <w:name w:val="annotation text"/>
    <w:basedOn w:val="Normal"/>
    <w:link w:val="CommentTextChar"/>
    <w:uiPriority w:val="99"/>
    <w:semiHidden/>
    <w:unhideWhenUsed/>
    <w:rsid w:val="001B795F"/>
    <w:pPr>
      <w:spacing w:line="240" w:lineRule="auto"/>
    </w:pPr>
    <w:rPr>
      <w:sz w:val="20"/>
      <w:szCs w:val="20"/>
    </w:rPr>
  </w:style>
  <w:style w:type="character" w:customStyle="1" w:styleId="CommentTextChar">
    <w:name w:val="Comment Text Char"/>
    <w:basedOn w:val="DefaultParagraphFont"/>
    <w:link w:val="CommentText"/>
    <w:uiPriority w:val="99"/>
    <w:semiHidden/>
    <w:rsid w:val="001B795F"/>
    <w:rPr>
      <w:sz w:val="20"/>
      <w:szCs w:val="20"/>
    </w:rPr>
  </w:style>
  <w:style w:type="paragraph" w:styleId="CommentSubject">
    <w:name w:val="annotation subject"/>
    <w:basedOn w:val="CommentText"/>
    <w:next w:val="CommentText"/>
    <w:link w:val="CommentSubjectChar"/>
    <w:uiPriority w:val="99"/>
    <w:semiHidden/>
    <w:unhideWhenUsed/>
    <w:rsid w:val="001B795F"/>
    <w:rPr>
      <w:b/>
      <w:bCs/>
    </w:rPr>
  </w:style>
  <w:style w:type="character" w:customStyle="1" w:styleId="CommentSubjectChar">
    <w:name w:val="Comment Subject Char"/>
    <w:basedOn w:val="CommentTextChar"/>
    <w:link w:val="CommentSubject"/>
    <w:uiPriority w:val="99"/>
    <w:semiHidden/>
    <w:rsid w:val="001B795F"/>
    <w:rPr>
      <w:b/>
      <w:bCs/>
      <w:sz w:val="20"/>
      <w:szCs w:val="20"/>
    </w:rPr>
  </w:style>
  <w:style w:type="paragraph" w:styleId="BalloonText">
    <w:name w:val="Balloon Text"/>
    <w:basedOn w:val="Normal"/>
    <w:link w:val="BalloonTextChar"/>
    <w:uiPriority w:val="99"/>
    <w:semiHidden/>
    <w:unhideWhenUsed/>
    <w:rsid w:val="001B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5F"/>
    <w:rPr>
      <w:rFonts w:ascii="Segoe UI" w:hAnsi="Segoe UI" w:cs="Segoe UI"/>
      <w:sz w:val="18"/>
      <w:szCs w:val="18"/>
    </w:rPr>
  </w:style>
  <w:style w:type="paragraph" w:styleId="Revision">
    <w:name w:val="Revision"/>
    <w:hidden/>
    <w:uiPriority w:val="99"/>
    <w:semiHidden/>
    <w:rsid w:val="0029779A"/>
    <w:pPr>
      <w:spacing w:after="0" w:line="240" w:lineRule="auto"/>
    </w:pPr>
  </w:style>
  <w:style w:type="paragraph" w:styleId="FootnoteText">
    <w:name w:val="footnote text"/>
    <w:basedOn w:val="Normal"/>
    <w:link w:val="FootnoteTextChar"/>
    <w:uiPriority w:val="99"/>
    <w:unhideWhenUsed/>
    <w:rsid w:val="00FD05E3"/>
    <w:pPr>
      <w:spacing w:after="0" w:line="240" w:lineRule="auto"/>
    </w:pPr>
    <w:rPr>
      <w:sz w:val="20"/>
      <w:szCs w:val="20"/>
    </w:rPr>
  </w:style>
  <w:style w:type="character" w:customStyle="1" w:styleId="FootnoteTextChar">
    <w:name w:val="Footnote Text Char"/>
    <w:basedOn w:val="DefaultParagraphFont"/>
    <w:link w:val="FootnoteText"/>
    <w:uiPriority w:val="99"/>
    <w:rsid w:val="00FD05E3"/>
    <w:rPr>
      <w:sz w:val="20"/>
      <w:szCs w:val="20"/>
    </w:rPr>
  </w:style>
  <w:style w:type="character" w:styleId="FootnoteReference">
    <w:name w:val="footnote reference"/>
    <w:basedOn w:val="DefaultParagraphFont"/>
    <w:uiPriority w:val="99"/>
    <w:semiHidden/>
    <w:unhideWhenUsed/>
    <w:rsid w:val="00FD05E3"/>
    <w:rPr>
      <w:vertAlign w:val="superscript"/>
    </w:rPr>
  </w:style>
  <w:style w:type="paragraph" w:styleId="ListParagraph">
    <w:name w:val="List Paragraph"/>
    <w:basedOn w:val="Normal"/>
    <w:uiPriority w:val="34"/>
    <w:qFormat/>
    <w:rsid w:val="00392A67"/>
    <w:pPr>
      <w:spacing w:after="200" w:line="276" w:lineRule="auto"/>
      <w:ind w:left="720"/>
      <w:contextualSpacing/>
    </w:pPr>
    <w:rPr>
      <w:lang w:val="lt-LT"/>
    </w:rPr>
  </w:style>
  <w:style w:type="paragraph" w:styleId="Caption">
    <w:name w:val="caption"/>
    <w:basedOn w:val="Normal"/>
    <w:next w:val="Normal"/>
    <w:uiPriority w:val="35"/>
    <w:unhideWhenUsed/>
    <w:qFormat/>
    <w:rsid w:val="00E16EB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0A69D5"/>
    <w:rPr>
      <w:rFonts w:ascii="Times New Roman" w:eastAsia="Times New Roman" w:hAnsi="Times New Roman" w:cs="Times New Roman"/>
      <w:b/>
      <w:bCs/>
      <w:caps/>
      <w:sz w:val="24"/>
      <w:szCs w:val="24"/>
      <w:lang w:val="lt-LT" w:bidi="en-US"/>
    </w:rPr>
  </w:style>
  <w:style w:type="paragraph" w:customStyle="1" w:styleId="Lenetele">
    <w:name w:val="Lenetele"/>
    <w:basedOn w:val="Normal"/>
    <w:next w:val="Normal"/>
    <w:rsid w:val="00597941"/>
    <w:pPr>
      <w:suppressAutoHyphens/>
      <w:spacing w:after="0" w:line="360" w:lineRule="auto"/>
      <w:jc w:val="both"/>
    </w:pPr>
    <w:rPr>
      <w:rFonts w:ascii="Arial" w:eastAsia="Times New Roman" w:hAnsi="Arial" w:cs="Times New Roman"/>
      <w:sz w:val="20"/>
      <w:szCs w:val="20"/>
      <w:lang w:val="lt-LT" w:eastAsia="lt-LT" w:bidi="en-US"/>
    </w:rPr>
  </w:style>
  <w:style w:type="paragraph" w:styleId="NoSpacing">
    <w:name w:val="No Spacing"/>
    <w:basedOn w:val="Normal"/>
    <w:link w:val="NoSpacingChar"/>
    <w:uiPriority w:val="1"/>
    <w:qFormat/>
    <w:rsid w:val="00597941"/>
    <w:pPr>
      <w:spacing w:after="0" w:line="240" w:lineRule="auto"/>
      <w:jc w:val="both"/>
    </w:pPr>
    <w:rPr>
      <w:rFonts w:ascii="Calibri" w:eastAsia="Times New Roman" w:hAnsi="Calibri" w:cs="Times New Roman"/>
      <w:lang w:val="lt-LT" w:bidi="en-US"/>
    </w:rPr>
  </w:style>
  <w:style w:type="character" w:customStyle="1" w:styleId="NoSpacingChar">
    <w:name w:val="No Spacing Char"/>
    <w:link w:val="NoSpacing"/>
    <w:uiPriority w:val="1"/>
    <w:rsid w:val="00597941"/>
    <w:rPr>
      <w:rFonts w:ascii="Calibri" w:eastAsia="Times New Roman" w:hAnsi="Calibri" w:cs="Times New Roman"/>
      <w:lang w:val="lt-LT" w:bidi="en-US"/>
    </w:rPr>
  </w:style>
  <w:style w:type="paragraph" w:styleId="Header">
    <w:name w:val="header"/>
    <w:basedOn w:val="Normal"/>
    <w:link w:val="HeaderChar"/>
    <w:unhideWhenUsed/>
    <w:rsid w:val="00FE0A58"/>
    <w:pPr>
      <w:tabs>
        <w:tab w:val="center" w:pos="4680"/>
        <w:tab w:val="right" w:pos="9360"/>
      </w:tabs>
      <w:spacing w:after="0" w:line="240" w:lineRule="auto"/>
      <w:jc w:val="both"/>
    </w:pPr>
    <w:rPr>
      <w:rFonts w:ascii="Calibri" w:eastAsia="Calibri" w:hAnsi="Calibri" w:cs="Times New Roman"/>
      <w:lang w:val="lt-LT"/>
    </w:rPr>
  </w:style>
  <w:style w:type="character" w:customStyle="1" w:styleId="HeaderChar">
    <w:name w:val="Header Char"/>
    <w:basedOn w:val="DefaultParagraphFont"/>
    <w:link w:val="Header"/>
    <w:uiPriority w:val="99"/>
    <w:rsid w:val="00FE0A58"/>
    <w:rPr>
      <w:rFonts w:ascii="Calibri" w:eastAsia="Calibri" w:hAnsi="Calibri" w:cs="Times New Roman"/>
      <w:lang w:val="lt-LT"/>
    </w:rPr>
  </w:style>
  <w:style w:type="character" w:styleId="Hyperlink">
    <w:name w:val="Hyperlink"/>
    <w:uiPriority w:val="99"/>
    <w:rsid w:val="00FE0A58"/>
    <w:rPr>
      <w:color w:val="0000FF"/>
      <w:u w:val="single"/>
    </w:rPr>
  </w:style>
  <w:style w:type="paragraph" w:styleId="TOC1">
    <w:name w:val="toc 1"/>
    <w:basedOn w:val="Normal"/>
    <w:next w:val="Normal"/>
    <w:autoRedefine/>
    <w:uiPriority w:val="39"/>
    <w:unhideWhenUsed/>
    <w:rsid w:val="000A69D5"/>
    <w:pPr>
      <w:tabs>
        <w:tab w:val="left" w:pos="440"/>
        <w:tab w:val="right" w:leader="dot" w:pos="9961"/>
      </w:tabs>
      <w:spacing w:after="100" w:line="360" w:lineRule="auto"/>
      <w:jc w:val="both"/>
    </w:pPr>
    <w:rPr>
      <w:rFonts w:ascii="Times New Roman" w:eastAsia="Calibri" w:hAnsi="Times New Roman" w:cs="Times New Roman"/>
      <w:sz w:val="24"/>
      <w:lang w:val="lt-LT"/>
    </w:rPr>
  </w:style>
  <w:style w:type="paragraph" w:styleId="TOC2">
    <w:name w:val="toc 2"/>
    <w:basedOn w:val="Normal"/>
    <w:next w:val="Normal"/>
    <w:autoRedefine/>
    <w:uiPriority w:val="39"/>
    <w:unhideWhenUsed/>
    <w:rsid w:val="00FE0A58"/>
    <w:pPr>
      <w:spacing w:after="100" w:line="360" w:lineRule="auto"/>
      <w:ind w:left="220"/>
      <w:jc w:val="both"/>
    </w:pPr>
    <w:rPr>
      <w:rFonts w:ascii="Calibri" w:eastAsia="Calibri" w:hAnsi="Calibri" w:cs="Times New Roman"/>
      <w:lang w:val="lt-LT"/>
    </w:rPr>
  </w:style>
  <w:style w:type="paragraph" w:styleId="TOC3">
    <w:name w:val="toc 3"/>
    <w:basedOn w:val="Normal"/>
    <w:next w:val="Normal"/>
    <w:autoRedefine/>
    <w:uiPriority w:val="39"/>
    <w:unhideWhenUsed/>
    <w:rsid w:val="00FE0A58"/>
    <w:pPr>
      <w:spacing w:after="100" w:line="360" w:lineRule="auto"/>
      <w:ind w:left="440"/>
      <w:jc w:val="both"/>
    </w:pPr>
    <w:rPr>
      <w:rFonts w:ascii="Calibri" w:eastAsia="Calibri" w:hAnsi="Calibri" w:cs="Times New Roman"/>
      <w:lang w:val="lt-LT"/>
    </w:rPr>
  </w:style>
  <w:style w:type="character" w:customStyle="1" w:styleId="Heading2Char">
    <w:name w:val="Heading 2 Char"/>
    <w:basedOn w:val="DefaultParagraphFont"/>
    <w:link w:val="Heading2"/>
    <w:uiPriority w:val="9"/>
    <w:rsid w:val="000A69D5"/>
    <w:rPr>
      <w:rFonts w:ascii="Times New Roman Bold" w:eastAsia="Times New Roman" w:hAnsi="Times New Roman Bold" w:cs="Times New Roman"/>
      <w:b/>
      <w:bCs/>
      <w:sz w:val="24"/>
      <w:szCs w:val="26"/>
      <w:lang w:val="lt-LT"/>
    </w:rPr>
  </w:style>
  <w:style w:type="paragraph" w:styleId="Footer">
    <w:name w:val="footer"/>
    <w:basedOn w:val="Normal"/>
    <w:link w:val="FooterChar"/>
    <w:uiPriority w:val="99"/>
    <w:unhideWhenUsed/>
    <w:rsid w:val="00865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9C3"/>
  </w:style>
  <w:style w:type="table" w:styleId="TableGrid">
    <w:name w:val="Table Grid"/>
    <w:basedOn w:val="TableNormal"/>
    <w:uiPriority w:val="39"/>
    <w:rsid w:val="009D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yksciai.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nyksciai.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yksc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8C4F-9002-4C76-831A-4C7E68C9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7919</Words>
  <Characters>45144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naudotojas</dc:creator>
  <cp:keywords/>
  <dc:description/>
  <cp:lastModifiedBy>Kristina Beinorytė</cp:lastModifiedBy>
  <cp:revision>2</cp:revision>
  <cp:lastPrinted>2017-06-08T10:14:00Z</cp:lastPrinted>
  <dcterms:created xsi:type="dcterms:W3CDTF">2019-06-04T09:01:00Z</dcterms:created>
  <dcterms:modified xsi:type="dcterms:W3CDTF">2019-06-04T09:01:00Z</dcterms:modified>
</cp:coreProperties>
</file>